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74F4F" w14:textId="77777777" w:rsidR="00606B6E" w:rsidRDefault="00FE5BB6" w:rsidP="00FE5BB6">
      <w:pPr>
        <w:pStyle w:val="Title"/>
      </w:pPr>
      <w:r>
        <w:rPr>
          <w:rStyle w:val="TitleChar"/>
          <w:bCs/>
        </w:rPr>
        <w:t>Department of Jobs,</w:t>
      </w:r>
      <w:r>
        <w:rPr>
          <w:rStyle w:val="TitleChar"/>
          <w:bCs/>
        </w:rPr>
        <w:br/>
        <w:t>Precincts and Regions</w:t>
      </w:r>
    </w:p>
    <w:sdt>
      <w:sdtPr>
        <w:rPr>
          <w:rStyle w:val="TitleChar"/>
          <w:noProof w:val="0"/>
          <w:color w:val="FFFFFF" w:themeColor="background1"/>
          <w:lang w:val="en-AU" w:eastAsia="en-US"/>
        </w:rPr>
        <w:id w:val="2122263188"/>
        <w:placeholder>
          <w:docPart w:val="045431A176D34C4C808DFE3981C11D77"/>
        </w:placeholder>
      </w:sdtPr>
      <w:sdtEndPr>
        <w:rPr>
          <w:rStyle w:val="TitleChar"/>
        </w:rPr>
      </w:sdtEndPr>
      <w:sdtContent>
        <w:sdt>
          <w:sdtPr>
            <w:rPr>
              <w:rStyle w:val="TitleChar"/>
              <w:noProof w:val="0"/>
              <w:color w:val="FFFFFF" w:themeColor="background1"/>
              <w:lang w:val="en-AU" w:eastAsia="en-US"/>
            </w:rPr>
            <w:id w:val="-785035155"/>
            <w:placeholder>
              <w:docPart w:val="CFEC2B931E7743B6AC777ED502597F72"/>
            </w:placeholder>
          </w:sdtPr>
          <w:sdtEndPr>
            <w:rPr>
              <w:rStyle w:val="TitleChar"/>
            </w:rPr>
          </w:sdtEndPr>
          <w:sdtContent>
            <w:p w14:paraId="5B86E1D9" w14:textId="77777777" w:rsidR="0033610C" w:rsidRDefault="0033610C" w:rsidP="0033610C">
              <w:pPr>
                <w:pStyle w:val="Reporttitle"/>
                <w:rPr>
                  <w:rStyle w:val="TitleChar"/>
                  <w:noProof w:val="0"/>
                  <w:color w:val="FFFFFF" w:themeColor="background1"/>
                  <w:lang w:val="en-AU" w:eastAsia="en-US"/>
                </w:rPr>
              </w:pPr>
              <w:r>
                <w:rPr>
                  <w:rStyle w:val="TitleChar"/>
                  <w:noProof w:val="0"/>
                  <w:color w:val="FFFFFF" w:themeColor="background1"/>
                  <w:lang w:val="en-AU" w:eastAsia="en-US"/>
                </w:rPr>
                <w:t xml:space="preserve">Response to the Waterfowl Adaptive Harvest Model: </w:t>
              </w:r>
            </w:p>
            <w:p w14:paraId="60931E5E" w14:textId="77777777" w:rsidR="0033610C" w:rsidRDefault="0033610C" w:rsidP="0033610C">
              <w:pPr>
                <w:pStyle w:val="Reporttitle"/>
                <w:rPr>
                  <w:rStyle w:val="TitleChar"/>
                  <w:noProof w:val="0"/>
                  <w:color w:val="FFFFFF" w:themeColor="background1"/>
                  <w:lang w:val="en-AU" w:eastAsia="en-US"/>
                </w:rPr>
              </w:pPr>
              <w:r>
                <w:rPr>
                  <w:rStyle w:val="TitleChar"/>
                  <w:noProof w:val="0"/>
                  <w:color w:val="FFFFFF" w:themeColor="background1"/>
                  <w:lang w:val="en-AU" w:eastAsia="en-US"/>
                </w:rPr>
                <w:t>Expert Panel Review</w:t>
              </w:r>
            </w:p>
          </w:sdtContent>
        </w:sdt>
        <w:p w14:paraId="0F4A8D20" w14:textId="0700E281" w:rsidR="00FE5BB6" w:rsidRDefault="002758EA" w:rsidP="00FE5BB6">
          <w:pPr>
            <w:pStyle w:val="Reporttitle"/>
            <w:rPr>
              <w:rStyle w:val="TitleChar"/>
              <w:noProof w:val="0"/>
              <w:color w:val="FFFFFF" w:themeColor="background1"/>
              <w:lang w:val="en-AU" w:eastAsia="en-US"/>
            </w:rPr>
          </w:pPr>
        </w:p>
      </w:sdtContent>
    </w:sdt>
    <w:p w14:paraId="3A14CF2E" w14:textId="51640DAC" w:rsidR="00FE5BB6" w:rsidRPr="00D96C1E" w:rsidRDefault="00FE5BB6" w:rsidP="00FE5BB6">
      <w:pPr>
        <w:pStyle w:val="Subtitle"/>
      </w:pPr>
    </w:p>
    <w:p w14:paraId="4B5CE749" w14:textId="77777777" w:rsidR="00FE5BB6" w:rsidRDefault="00FE5BB6" w:rsidP="00FE5BB6"/>
    <w:p w14:paraId="4621B19D" w14:textId="77777777" w:rsidR="00FE5BB6" w:rsidRPr="00FE5BB6" w:rsidRDefault="00FE5BB6" w:rsidP="00FE5BB6">
      <w:pPr>
        <w:sectPr w:rsidR="00FE5BB6" w:rsidRPr="00FE5BB6" w:rsidSect="003E73DE">
          <w:headerReference w:type="even" r:id="rId11"/>
          <w:headerReference w:type="default" r:id="rId12"/>
          <w:footerReference w:type="even" r:id="rId13"/>
          <w:footerReference w:type="default" r:id="rId14"/>
          <w:headerReference w:type="first" r:id="rId15"/>
          <w:footerReference w:type="first" r:id="rId16"/>
          <w:pgSz w:w="11906" w:h="16838"/>
          <w:pgMar w:top="3402" w:right="4111" w:bottom="4505" w:left="1134" w:header="709" w:footer="136" w:gutter="0"/>
          <w:pgNumType w:fmt="lowerRoman" w:start="0"/>
          <w:cols w:space="708"/>
          <w:titlePg/>
          <w:docGrid w:linePitch="360"/>
        </w:sectPr>
      </w:pPr>
    </w:p>
    <w:p w14:paraId="15A7A290" w14:textId="77777777" w:rsidR="004371F6" w:rsidRPr="00D96C1E" w:rsidRDefault="004371F6" w:rsidP="00D96C1E">
      <w:pPr>
        <w:pStyle w:val="TOCHeading"/>
      </w:pPr>
      <w:r w:rsidRPr="00D96C1E">
        <w:lastRenderedPageBreak/>
        <w:t>Table of contents</w:t>
      </w:r>
    </w:p>
    <w:p w14:paraId="7017A882" w14:textId="3D854008" w:rsidR="0033610C" w:rsidRDefault="00A17119">
      <w:pPr>
        <w:pStyle w:val="TOC1"/>
        <w:rPr>
          <w:rFonts w:asciiTheme="minorHAnsi" w:eastAsiaTheme="minorEastAsia" w:hAnsiTheme="minorHAnsi" w:cstheme="minorBidi"/>
          <w:noProof/>
          <w:color w:val="auto"/>
          <w:sz w:val="22"/>
          <w:szCs w:val="22"/>
          <w:lang w:eastAsia="en-AU"/>
        </w:rPr>
      </w:pPr>
      <w:r>
        <w:rPr>
          <w:noProof/>
          <w:color w:val="auto"/>
          <w:lang w:eastAsia="en-AU"/>
        </w:rPr>
        <w:fldChar w:fldCharType="begin"/>
      </w:r>
      <w:r>
        <w:rPr>
          <w:noProof/>
          <w:color w:val="auto"/>
          <w:lang w:eastAsia="en-AU"/>
        </w:rPr>
        <w:instrText xml:space="preserve"> TOC \o "1-3" \h \z \u </w:instrText>
      </w:r>
      <w:r>
        <w:rPr>
          <w:noProof/>
          <w:color w:val="auto"/>
          <w:lang w:eastAsia="en-AU"/>
        </w:rPr>
        <w:fldChar w:fldCharType="separate"/>
      </w:r>
      <w:hyperlink w:anchor="_Toc63855865" w:history="1">
        <w:r w:rsidR="0033610C" w:rsidRPr="00455462">
          <w:rPr>
            <w:rStyle w:val="Hyperlink"/>
            <w:noProof/>
          </w:rPr>
          <w:t>1</w:t>
        </w:r>
        <w:r w:rsidR="0033610C">
          <w:rPr>
            <w:rFonts w:asciiTheme="minorHAnsi" w:eastAsiaTheme="minorEastAsia" w:hAnsiTheme="minorHAnsi" w:cstheme="minorBidi"/>
            <w:noProof/>
            <w:color w:val="auto"/>
            <w:sz w:val="22"/>
            <w:szCs w:val="22"/>
            <w:lang w:eastAsia="en-AU"/>
          </w:rPr>
          <w:tab/>
        </w:r>
        <w:r w:rsidR="0033610C" w:rsidRPr="00455462">
          <w:rPr>
            <w:rStyle w:val="Hyperlink"/>
            <w:noProof/>
          </w:rPr>
          <w:t>Response to the Waterfowl Adaptive Harvest Model: Expert Panel Review</w:t>
        </w:r>
        <w:r w:rsidR="0033610C">
          <w:rPr>
            <w:noProof/>
            <w:webHidden/>
          </w:rPr>
          <w:tab/>
        </w:r>
        <w:r w:rsidR="0033610C">
          <w:rPr>
            <w:noProof/>
            <w:webHidden/>
          </w:rPr>
          <w:fldChar w:fldCharType="begin"/>
        </w:r>
        <w:r w:rsidR="0033610C">
          <w:rPr>
            <w:noProof/>
            <w:webHidden/>
          </w:rPr>
          <w:instrText xml:space="preserve"> PAGEREF _Toc63855865 \h </w:instrText>
        </w:r>
        <w:r w:rsidR="0033610C">
          <w:rPr>
            <w:noProof/>
            <w:webHidden/>
          </w:rPr>
        </w:r>
        <w:r w:rsidR="0033610C">
          <w:rPr>
            <w:noProof/>
            <w:webHidden/>
          </w:rPr>
          <w:fldChar w:fldCharType="separate"/>
        </w:r>
        <w:r w:rsidR="0033610C">
          <w:rPr>
            <w:noProof/>
            <w:webHidden/>
          </w:rPr>
          <w:t>2</w:t>
        </w:r>
        <w:r w:rsidR="0033610C">
          <w:rPr>
            <w:noProof/>
            <w:webHidden/>
          </w:rPr>
          <w:fldChar w:fldCharType="end"/>
        </w:r>
      </w:hyperlink>
    </w:p>
    <w:p w14:paraId="56A86F92" w14:textId="2C7BA259" w:rsidR="0033610C" w:rsidRDefault="002758EA">
      <w:pPr>
        <w:pStyle w:val="TOC1"/>
        <w:rPr>
          <w:rFonts w:asciiTheme="minorHAnsi" w:eastAsiaTheme="minorEastAsia" w:hAnsiTheme="minorHAnsi" w:cstheme="minorBidi"/>
          <w:noProof/>
          <w:color w:val="auto"/>
          <w:sz w:val="22"/>
          <w:szCs w:val="22"/>
          <w:lang w:eastAsia="en-AU"/>
        </w:rPr>
      </w:pPr>
      <w:hyperlink w:anchor="_Toc63855866" w:history="1">
        <w:r w:rsidR="0033610C" w:rsidRPr="00455462">
          <w:rPr>
            <w:rStyle w:val="Hyperlink"/>
            <w:noProof/>
          </w:rPr>
          <w:t>2</w:t>
        </w:r>
        <w:r w:rsidR="0033610C">
          <w:rPr>
            <w:rFonts w:asciiTheme="minorHAnsi" w:eastAsiaTheme="minorEastAsia" w:hAnsiTheme="minorHAnsi" w:cstheme="minorBidi"/>
            <w:noProof/>
            <w:color w:val="auto"/>
            <w:sz w:val="22"/>
            <w:szCs w:val="22"/>
            <w:lang w:eastAsia="en-AU"/>
          </w:rPr>
          <w:tab/>
        </w:r>
        <w:r w:rsidR="0033610C" w:rsidRPr="00455462">
          <w:rPr>
            <w:rStyle w:val="Hyperlink"/>
            <w:noProof/>
          </w:rPr>
          <w:t>Table 1 - Responses to Findings and Recommendations</w:t>
        </w:r>
        <w:r w:rsidR="0033610C">
          <w:rPr>
            <w:noProof/>
            <w:webHidden/>
          </w:rPr>
          <w:tab/>
        </w:r>
        <w:r w:rsidR="0033610C">
          <w:rPr>
            <w:noProof/>
            <w:webHidden/>
          </w:rPr>
          <w:fldChar w:fldCharType="begin"/>
        </w:r>
        <w:r w:rsidR="0033610C">
          <w:rPr>
            <w:noProof/>
            <w:webHidden/>
          </w:rPr>
          <w:instrText xml:space="preserve"> PAGEREF _Toc63855866 \h </w:instrText>
        </w:r>
        <w:r w:rsidR="0033610C">
          <w:rPr>
            <w:noProof/>
            <w:webHidden/>
          </w:rPr>
        </w:r>
        <w:r w:rsidR="0033610C">
          <w:rPr>
            <w:noProof/>
            <w:webHidden/>
          </w:rPr>
          <w:fldChar w:fldCharType="separate"/>
        </w:r>
        <w:r w:rsidR="0033610C">
          <w:rPr>
            <w:noProof/>
            <w:webHidden/>
          </w:rPr>
          <w:t>3</w:t>
        </w:r>
        <w:r w:rsidR="0033610C">
          <w:rPr>
            <w:noProof/>
            <w:webHidden/>
          </w:rPr>
          <w:fldChar w:fldCharType="end"/>
        </w:r>
      </w:hyperlink>
    </w:p>
    <w:p w14:paraId="3B4892D4" w14:textId="16CD270F" w:rsidR="00D96C1E" w:rsidRDefault="00A17119" w:rsidP="0033610C">
      <w:pPr>
        <w:pStyle w:val="TOC1"/>
        <w:rPr>
          <w:noProof/>
        </w:rPr>
      </w:pPr>
      <w:r>
        <w:rPr>
          <w:noProof/>
          <w:color w:val="auto"/>
          <w:lang w:eastAsia="en-AU"/>
        </w:rPr>
        <w:fldChar w:fldCharType="end"/>
      </w:r>
    </w:p>
    <w:p w14:paraId="6A359F43" w14:textId="77777777" w:rsidR="00D96C1E" w:rsidRDefault="00D96C1E" w:rsidP="00D96C1E">
      <w:pPr>
        <w:rPr>
          <w:noProof/>
        </w:rPr>
      </w:pPr>
    </w:p>
    <w:p w14:paraId="262BBBC9" w14:textId="77777777" w:rsidR="00D96C1E" w:rsidRDefault="00D96C1E" w:rsidP="00D96C1E">
      <w:pPr>
        <w:rPr>
          <w:noProof/>
        </w:rPr>
      </w:pPr>
    </w:p>
    <w:p w14:paraId="76CFDDD1" w14:textId="77777777" w:rsidR="00D96C1E" w:rsidRPr="00E42772" w:rsidRDefault="00D96C1E" w:rsidP="00070516">
      <w:pPr>
        <w:rPr>
          <w:rFonts w:eastAsiaTheme="majorEastAsia"/>
          <w:vanish/>
          <w:color w:val="0090DA" w:themeColor="accent5"/>
        </w:rPr>
      </w:pPr>
      <w:r w:rsidRPr="00E42772">
        <w:rPr>
          <w:rFonts w:eastAsiaTheme="majorEastAsia"/>
          <w:vanish/>
          <w:color w:val="0090DA" w:themeColor="accent5"/>
        </w:rPr>
        <w:t>To update Table of Contents:</w:t>
      </w:r>
      <w:r w:rsidRPr="00E42772">
        <w:rPr>
          <w:rFonts w:eastAsiaTheme="majorEastAsia"/>
          <w:vanish/>
          <w:color w:val="0090DA" w:themeColor="accent5"/>
        </w:rPr>
        <w:br/>
        <w:t>&gt; right click in contents area &gt; select ‘Update Field’ &gt; ‘Update entire table’.</w:t>
      </w:r>
      <w:r w:rsidRPr="00E42772">
        <w:rPr>
          <w:rFonts w:eastAsiaTheme="majorEastAsia"/>
          <w:vanish/>
          <w:color w:val="0090DA" w:themeColor="accent5"/>
        </w:rPr>
        <w:br/>
        <w:t>This is automated from styles: Heading 1, 2, 3.</w:t>
      </w:r>
    </w:p>
    <w:p w14:paraId="38C8D8A7" w14:textId="77777777" w:rsidR="0033610C" w:rsidRDefault="0033610C" w:rsidP="0033610C">
      <w:pPr>
        <w:pStyle w:val="Heading1"/>
      </w:pPr>
      <w:bookmarkStart w:id="0" w:name="_Toc63855865"/>
      <w:r>
        <w:lastRenderedPageBreak/>
        <w:t>Response to the Waterfowl Adaptive Harvest Model: Expert Panel Review</w:t>
      </w:r>
      <w:bookmarkEnd w:id="0"/>
    </w:p>
    <w:p w14:paraId="6CC02F39" w14:textId="77777777" w:rsidR="0033610C" w:rsidRPr="0033610C" w:rsidRDefault="0033610C" w:rsidP="0033610C">
      <w:pPr>
        <w:spacing w:before="60" w:after="120"/>
        <w:rPr>
          <w:rFonts w:asciiTheme="minorHAnsi" w:hAnsiTheme="minorHAnsi" w:cstheme="minorHAnsi"/>
          <w:sz w:val="20"/>
        </w:rPr>
      </w:pPr>
      <w:r w:rsidRPr="0033610C">
        <w:rPr>
          <w:rFonts w:asciiTheme="minorHAnsi" w:hAnsiTheme="minorHAnsi" w:cstheme="minorHAnsi"/>
          <w:sz w:val="20"/>
        </w:rPr>
        <w:t xml:space="preserve">The Victorian Government is committed to implementing adaptive harvest management to set harvest objectives, improve the way in which game duck numbers are assessed and to inform duck season arrangement decisions. </w:t>
      </w:r>
    </w:p>
    <w:p w14:paraId="23E082CA" w14:textId="77777777" w:rsidR="0033610C" w:rsidRPr="0033610C" w:rsidRDefault="0033610C" w:rsidP="0033610C">
      <w:pPr>
        <w:spacing w:before="60" w:after="120"/>
        <w:rPr>
          <w:rFonts w:asciiTheme="minorHAnsi" w:hAnsiTheme="minorHAnsi" w:cstheme="minorHAnsi"/>
          <w:sz w:val="20"/>
        </w:rPr>
      </w:pPr>
      <w:r w:rsidRPr="0033610C">
        <w:rPr>
          <w:rFonts w:asciiTheme="minorHAnsi" w:hAnsiTheme="minorHAnsi" w:cstheme="minorHAnsi"/>
          <w:sz w:val="20"/>
        </w:rPr>
        <w:t xml:space="preserve">An expert panel was commissioned to review Victoria’s proposed approach to adaptive harvest management for duck hunting and in October 2019, it provided its report </w:t>
      </w:r>
      <w:r w:rsidRPr="0033610C">
        <w:rPr>
          <w:rFonts w:asciiTheme="minorHAnsi" w:hAnsiTheme="minorHAnsi" w:cstheme="minorHAnsi"/>
          <w:i/>
          <w:sz w:val="20"/>
        </w:rPr>
        <w:t>Waterfowl Adaptive Harvest Model: Expert Panel Review.</w:t>
      </w:r>
      <w:r w:rsidRPr="0033610C">
        <w:rPr>
          <w:rStyle w:val="FootnoteReference"/>
          <w:rFonts w:asciiTheme="minorHAnsi" w:hAnsiTheme="minorHAnsi" w:cstheme="minorHAnsi"/>
          <w:sz w:val="20"/>
        </w:rPr>
        <w:footnoteReference w:id="1"/>
      </w:r>
    </w:p>
    <w:p w14:paraId="77063434" w14:textId="77777777" w:rsidR="0033610C" w:rsidRPr="0033610C" w:rsidRDefault="0033610C" w:rsidP="0033610C">
      <w:pPr>
        <w:spacing w:before="60" w:after="120"/>
        <w:rPr>
          <w:rFonts w:asciiTheme="minorHAnsi" w:hAnsiTheme="minorHAnsi" w:cstheme="minorHAnsi"/>
          <w:sz w:val="20"/>
        </w:rPr>
      </w:pPr>
      <w:r w:rsidRPr="0033610C">
        <w:rPr>
          <w:rFonts w:asciiTheme="minorHAnsi" w:hAnsiTheme="minorHAnsi" w:cstheme="minorHAnsi"/>
          <w:sz w:val="20"/>
        </w:rPr>
        <w:t>The expert panel’s report supports Victoria’s proposed approach to adaptive harvest management</w:t>
      </w:r>
      <w:r w:rsidRPr="0033610C">
        <w:rPr>
          <w:rStyle w:val="FootnoteReference"/>
          <w:rFonts w:asciiTheme="minorHAnsi" w:hAnsiTheme="minorHAnsi" w:cstheme="minorHAnsi"/>
          <w:sz w:val="20"/>
        </w:rPr>
        <w:footnoteReference w:id="2"/>
      </w:r>
      <w:r w:rsidRPr="0033610C">
        <w:rPr>
          <w:rFonts w:asciiTheme="minorHAnsi" w:hAnsiTheme="minorHAnsi" w:cstheme="minorHAnsi"/>
          <w:sz w:val="20"/>
        </w:rPr>
        <w:t xml:space="preserve">, suggests additional desktop studies and highlights the importance of strong stakeholder understanding, involvement and support for the establishment of a robust and evidence-based approach to harvest management. </w:t>
      </w:r>
    </w:p>
    <w:p w14:paraId="440DB144" w14:textId="6E5C574E" w:rsidR="0033610C" w:rsidRPr="0033610C" w:rsidRDefault="0033610C" w:rsidP="0033610C">
      <w:pPr>
        <w:spacing w:before="60" w:after="120"/>
        <w:rPr>
          <w:rFonts w:asciiTheme="minorHAnsi" w:hAnsiTheme="minorHAnsi" w:cstheme="minorHAnsi"/>
          <w:sz w:val="20"/>
        </w:rPr>
      </w:pPr>
      <w:r w:rsidRPr="0033610C">
        <w:rPr>
          <w:rFonts w:asciiTheme="minorHAnsi" w:hAnsiTheme="minorHAnsi" w:cstheme="minorHAnsi"/>
          <w:sz w:val="20"/>
        </w:rPr>
        <w:t xml:space="preserve">All the expert panel’s recommendations are supported (Table 1), with the exception of Recommendation 3, (modelling of waterfowl relative abundance using historical datasets) which is not being pursued at this time due to issues </w:t>
      </w:r>
      <w:r w:rsidR="003C115D">
        <w:rPr>
          <w:rFonts w:asciiTheme="minorHAnsi" w:hAnsiTheme="minorHAnsi" w:cstheme="minorHAnsi"/>
          <w:sz w:val="20"/>
        </w:rPr>
        <w:t xml:space="preserve">with </w:t>
      </w:r>
      <w:r w:rsidRPr="0033610C">
        <w:rPr>
          <w:rFonts w:asciiTheme="minorHAnsi" w:hAnsiTheme="minorHAnsi" w:cstheme="minorHAnsi"/>
          <w:sz w:val="20"/>
        </w:rPr>
        <w:t>the lack of suitability of some data for modelling purposes</w:t>
      </w:r>
      <w:r w:rsidR="002F68AA">
        <w:rPr>
          <w:rFonts w:asciiTheme="minorHAnsi" w:hAnsiTheme="minorHAnsi" w:cstheme="minorHAnsi"/>
          <w:sz w:val="20"/>
        </w:rPr>
        <w:t>, and cost</w:t>
      </w:r>
      <w:r w:rsidRPr="0033610C">
        <w:rPr>
          <w:rFonts w:asciiTheme="minorHAnsi" w:hAnsiTheme="minorHAnsi" w:cstheme="minorHAnsi"/>
          <w:sz w:val="20"/>
        </w:rPr>
        <w:t xml:space="preserve">. </w:t>
      </w:r>
    </w:p>
    <w:p w14:paraId="09861306" w14:textId="77777777" w:rsidR="002F68AA" w:rsidRDefault="0033610C" w:rsidP="0033610C">
      <w:pPr>
        <w:spacing w:before="60" w:after="120"/>
        <w:rPr>
          <w:rFonts w:asciiTheme="minorHAnsi" w:hAnsiTheme="minorHAnsi" w:cstheme="minorHAnsi"/>
          <w:sz w:val="20"/>
        </w:rPr>
      </w:pPr>
      <w:r w:rsidRPr="0033610C">
        <w:rPr>
          <w:rFonts w:asciiTheme="minorHAnsi" w:hAnsiTheme="minorHAnsi" w:cstheme="minorHAnsi"/>
          <w:sz w:val="20"/>
        </w:rPr>
        <w:t xml:space="preserve">Consistent with the findings of the expert panel report, work is already underway to develop a monitoring program to collect data to inform the harvest model component. </w:t>
      </w:r>
    </w:p>
    <w:p w14:paraId="4FB5E8BC" w14:textId="77777777" w:rsidR="002F68AA" w:rsidRDefault="0033610C" w:rsidP="0033610C">
      <w:pPr>
        <w:spacing w:before="60" w:after="120"/>
        <w:rPr>
          <w:rFonts w:asciiTheme="minorHAnsi" w:hAnsiTheme="minorHAnsi" w:cstheme="minorHAnsi"/>
          <w:sz w:val="20"/>
        </w:rPr>
      </w:pPr>
      <w:r w:rsidRPr="0033610C">
        <w:rPr>
          <w:rFonts w:asciiTheme="minorHAnsi" w:hAnsiTheme="minorHAnsi" w:cstheme="minorHAnsi"/>
          <w:sz w:val="20"/>
        </w:rPr>
        <w:t xml:space="preserve">The Game Management Authority (GMA) commissioned design of the monitoring program and it has been trialled in a helicopter survey conducted in November 2020. Data is currently being analysed and a draft evaluation report with recommendations will be prepared by March 2021. Model-based estimates of abundance gathered in this study will also be used to test the ability to predict game duck abundances with monitoring data collected in New South Wales. </w:t>
      </w:r>
    </w:p>
    <w:p w14:paraId="5C5659A4" w14:textId="29D79D2F" w:rsidR="0033610C" w:rsidRPr="0033610C" w:rsidRDefault="0033610C" w:rsidP="0033610C">
      <w:pPr>
        <w:spacing w:before="60" w:after="120"/>
        <w:rPr>
          <w:rFonts w:asciiTheme="minorHAnsi" w:hAnsiTheme="minorHAnsi" w:cstheme="minorHAnsi"/>
          <w:sz w:val="20"/>
        </w:rPr>
      </w:pPr>
      <w:proofErr w:type="gramStart"/>
      <w:r w:rsidRPr="0033610C">
        <w:rPr>
          <w:rFonts w:asciiTheme="minorHAnsi" w:hAnsiTheme="minorHAnsi" w:cstheme="minorHAnsi"/>
          <w:sz w:val="20"/>
        </w:rPr>
        <w:t>Also</w:t>
      </w:r>
      <w:proofErr w:type="gramEnd"/>
      <w:r w:rsidRPr="0033610C">
        <w:rPr>
          <w:rFonts w:asciiTheme="minorHAnsi" w:hAnsiTheme="minorHAnsi" w:cstheme="minorHAnsi"/>
          <w:sz w:val="20"/>
        </w:rPr>
        <w:t xml:space="preserve"> in response to the expert panel report, historical data has been modelled to determine the relationship between seasonal harvest regulations and the size of the recreational harvest.</w:t>
      </w:r>
    </w:p>
    <w:p w14:paraId="77B9BD8B" w14:textId="77777777" w:rsidR="0033610C" w:rsidRPr="0033610C" w:rsidRDefault="0033610C" w:rsidP="0033610C">
      <w:pPr>
        <w:spacing w:before="60" w:after="120"/>
        <w:rPr>
          <w:rFonts w:asciiTheme="minorHAnsi" w:hAnsiTheme="minorHAnsi" w:cstheme="minorHAnsi"/>
          <w:sz w:val="20"/>
        </w:rPr>
      </w:pPr>
      <w:r w:rsidRPr="0033610C">
        <w:rPr>
          <w:rFonts w:asciiTheme="minorHAnsi" w:hAnsiTheme="minorHAnsi" w:cstheme="minorHAnsi"/>
          <w:sz w:val="20"/>
        </w:rPr>
        <w:t xml:space="preserve">The Victorian Government will develop a game duck harvest management framework and accompanying harvest strategy in collaboration with key stakeholders in 2021. The framework and strategy will have sustainability at its core. This process will work collaboratively with key stakeholders to identify possible management objectives and support a clear understanding of the approach to adaptive harvest management. </w:t>
      </w:r>
    </w:p>
    <w:p w14:paraId="2BA97CF3" w14:textId="77777777" w:rsidR="0033610C" w:rsidRPr="0033610C" w:rsidRDefault="0033610C" w:rsidP="0033610C">
      <w:pPr>
        <w:spacing w:before="60" w:after="40"/>
        <w:rPr>
          <w:rFonts w:asciiTheme="minorHAnsi" w:hAnsiTheme="minorHAnsi" w:cstheme="minorHAnsi"/>
          <w:sz w:val="20"/>
        </w:rPr>
      </w:pPr>
      <w:r w:rsidRPr="0033610C">
        <w:rPr>
          <w:rFonts w:asciiTheme="minorHAnsi" w:hAnsiTheme="minorHAnsi" w:cstheme="minorHAnsi"/>
          <w:sz w:val="20"/>
        </w:rPr>
        <w:t>Stakeholder forums will provide the opportunity to:</w:t>
      </w:r>
    </w:p>
    <w:p w14:paraId="202B4F12" w14:textId="77777777" w:rsidR="0033610C" w:rsidRPr="0033610C" w:rsidRDefault="0033610C" w:rsidP="0033610C">
      <w:pPr>
        <w:pStyle w:val="ListParagraph"/>
        <w:numPr>
          <w:ilvl w:val="0"/>
          <w:numId w:val="31"/>
        </w:numPr>
        <w:spacing w:before="60" w:after="120"/>
        <w:rPr>
          <w:rFonts w:asciiTheme="minorHAnsi" w:hAnsiTheme="minorHAnsi" w:cstheme="minorHAnsi"/>
          <w:color w:val="53565A" w:themeColor="accent2"/>
          <w:sz w:val="20"/>
          <w:szCs w:val="20"/>
        </w:rPr>
      </w:pPr>
      <w:r w:rsidRPr="0033610C">
        <w:rPr>
          <w:rFonts w:asciiTheme="minorHAnsi" w:hAnsiTheme="minorHAnsi" w:cstheme="minorHAnsi"/>
          <w:color w:val="53565A" w:themeColor="accent2"/>
          <w:sz w:val="20"/>
          <w:szCs w:val="20"/>
        </w:rPr>
        <w:t>better understand and discuss adaptive harvest management and the use of modelling to achieve harvest objectives and reduce uncertainties about waterfowl harvest management</w:t>
      </w:r>
    </w:p>
    <w:p w14:paraId="38852262" w14:textId="77777777" w:rsidR="0033610C" w:rsidRPr="0033610C" w:rsidRDefault="0033610C" w:rsidP="0033610C">
      <w:pPr>
        <w:pStyle w:val="ListParagraph"/>
        <w:numPr>
          <w:ilvl w:val="0"/>
          <w:numId w:val="31"/>
        </w:numPr>
        <w:rPr>
          <w:rFonts w:asciiTheme="minorHAnsi" w:hAnsiTheme="minorHAnsi" w:cstheme="minorHAnsi"/>
          <w:color w:val="53565A" w:themeColor="accent2"/>
          <w:sz w:val="20"/>
          <w:szCs w:val="20"/>
        </w:rPr>
      </w:pPr>
      <w:r w:rsidRPr="0033610C">
        <w:rPr>
          <w:rFonts w:asciiTheme="minorHAnsi" w:hAnsiTheme="minorHAnsi" w:cstheme="minorHAnsi"/>
          <w:color w:val="53565A" w:themeColor="accent2"/>
          <w:sz w:val="20"/>
          <w:szCs w:val="20"/>
        </w:rPr>
        <w:t xml:space="preserve">develop a harvest management framework that incorporates the development of harvest management objectives, model development, </w:t>
      </w:r>
      <w:proofErr w:type="gramStart"/>
      <w:r w:rsidRPr="0033610C">
        <w:rPr>
          <w:rFonts w:asciiTheme="minorHAnsi" w:hAnsiTheme="minorHAnsi" w:cstheme="minorHAnsi"/>
          <w:color w:val="53565A" w:themeColor="accent2"/>
          <w:sz w:val="20"/>
          <w:szCs w:val="20"/>
        </w:rPr>
        <w:t>implementation</w:t>
      </w:r>
      <w:proofErr w:type="gramEnd"/>
      <w:r w:rsidRPr="0033610C">
        <w:rPr>
          <w:rFonts w:asciiTheme="minorHAnsi" w:hAnsiTheme="minorHAnsi" w:cstheme="minorHAnsi"/>
          <w:color w:val="53565A" w:themeColor="accent2"/>
          <w:sz w:val="20"/>
          <w:szCs w:val="20"/>
        </w:rPr>
        <w:t xml:space="preserve"> and review, monitoring and reporting, and evaluation with review cycles and </w:t>
      </w:r>
    </w:p>
    <w:p w14:paraId="6684CFF5" w14:textId="77777777" w:rsidR="0033610C" w:rsidRPr="0033610C" w:rsidRDefault="0033610C" w:rsidP="0033610C">
      <w:pPr>
        <w:pStyle w:val="ListParagraph"/>
        <w:numPr>
          <w:ilvl w:val="0"/>
          <w:numId w:val="31"/>
        </w:numPr>
        <w:spacing w:before="60" w:after="120"/>
        <w:rPr>
          <w:rFonts w:asciiTheme="minorHAnsi" w:hAnsiTheme="minorHAnsi" w:cstheme="minorHAnsi"/>
          <w:color w:val="53565A" w:themeColor="accent2"/>
          <w:sz w:val="20"/>
          <w:szCs w:val="20"/>
        </w:rPr>
      </w:pPr>
      <w:r w:rsidRPr="0033610C">
        <w:rPr>
          <w:rFonts w:asciiTheme="minorHAnsi" w:hAnsiTheme="minorHAnsi" w:cstheme="minorHAnsi"/>
          <w:color w:val="53565A" w:themeColor="accent2"/>
          <w:sz w:val="20"/>
          <w:szCs w:val="20"/>
        </w:rPr>
        <w:t xml:space="preserve">provide input into developing harvest management objectives collaboratively which will be central to a harvest strategy.  </w:t>
      </w:r>
    </w:p>
    <w:p w14:paraId="102AD95A" w14:textId="77777777" w:rsidR="0033610C" w:rsidRPr="0033610C" w:rsidRDefault="0033610C" w:rsidP="0033610C">
      <w:pPr>
        <w:spacing w:before="60" w:after="120"/>
        <w:rPr>
          <w:rFonts w:asciiTheme="minorHAnsi" w:hAnsiTheme="minorHAnsi" w:cstheme="minorHAnsi"/>
          <w:sz w:val="20"/>
        </w:rPr>
      </w:pPr>
      <w:r w:rsidRPr="0033610C">
        <w:rPr>
          <w:rFonts w:asciiTheme="minorHAnsi" w:hAnsiTheme="minorHAnsi" w:cstheme="minorHAnsi"/>
          <w:sz w:val="20"/>
        </w:rPr>
        <w:t xml:space="preserve">The expert panel provided broad ranging discussion of other issues and these will be considered, including increased cooperation with other eastern Australian jurisdictions. DJPR will lead discussions on framework and strategy development and the GMA and scientists will conduct research to ensure an accurate and effective adaptive harvest model. </w:t>
      </w:r>
    </w:p>
    <w:p w14:paraId="1E0602BA" w14:textId="77777777" w:rsidR="0033610C" w:rsidRPr="0033610C" w:rsidRDefault="0033610C" w:rsidP="0033610C">
      <w:pPr>
        <w:rPr>
          <w:rFonts w:asciiTheme="minorHAnsi" w:hAnsiTheme="minorHAnsi" w:cstheme="minorHAnsi"/>
          <w:sz w:val="20"/>
        </w:rPr>
      </w:pPr>
      <w:r w:rsidRPr="0033610C">
        <w:rPr>
          <w:rFonts w:asciiTheme="minorHAnsi" w:hAnsiTheme="minorHAnsi" w:cstheme="minorHAnsi"/>
          <w:sz w:val="20"/>
        </w:rPr>
        <w:t>The Victorian Government thanks the panel for its report.</w:t>
      </w:r>
    </w:p>
    <w:p w14:paraId="11344629" w14:textId="0CB8DE9C" w:rsidR="001A653B" w:rsidRPr="00CA59D5" w:rsidRDefault="0033610C" w:rsidP="004E298B">
      <w:pPr>
        <w:pStyle w:val="Heading1"/>
        <w:rPr>
          <w:rStyle w:val="Strong"/>
        </w:rPr>
      </w:pPr>
      <w:bookmarkStart w:id="1" w:name="_Toc315765093"/>
      <w:bookmarkStart w:id="2" w:name="_Toc63855866"/>
      <w:r>
        <w:lastRenderedPageBreak/>
        <w:t>Table 1 - R</w:t>
      </w:r>
      <w:r w:rsidRPr="00DD31C1">
        <w:t xml:space="preserve">esponses to </w:t>
      </w:r>
      <w:r>
        <w:t>F</w:t>
      </w:r>
      <w:r w:rsidRPr="00DD31C1">
        <w:t xml:space="preserve">indings and </w:t>
      </w:r>
      <w:r>
        <w:t>R</w:t>
      </w:r>
      <w:r w:rsidRPr="00DD31C1">
        <w:t>ecommendations</w:t>
      </w:r>
      <w:bookmarkStart w:id="3" w:name="_Toc314822267"/>
      <w:bookmarkEnd w:id="1"/>
      <w:bookmarkEnd w:id="2"/>
    </w:p>
    <w:tbl>
      <w:tblPr>
        <w:tblStyle w:val="TableGrid"/>
        <w:tblpPr w:leftFromText="180" w:rightFromText="180" w:vertAnchor="text" w:tblpX="-284" w:tblpY="20"/>
        <w:tblW w:w="9923" w:type="dxa"/>
        <w:tblBorders>
          <w:top w:val="single" w:sz="2" w:space="0" w:color="064EA8"/>
          <w:left w:val="none" w:sz="0" w:space="0" w:color="auto"/>
          <w:bottom w:val="single" w:sz="2" w:space="0" w:color="064EA8"/>
          <w:right w:val="none" w:sz="0" w:space="0" w:color="auto"/>
          <w:insideH w:val="single" w:sz="2" w:space="0" w:color="064EA8"/>
          <w:insideV w:val="none" w:sz="0" w:space="0" w:color="auto"/>
        </w:tblBorders>
        <w:tblLook w:val="04A0" w:firstRow="1" w:lastRow="0" w:firstColumn="1" w:lastColumn="0" w:noHBand="0" w:noVBand="1"/>
        <w:tblCaption w:val="Table heading"/>
      </w:tblPr>
      <w:tblGrid>
        <w:gridCol w:w="980"/>
        <w:gridCol w:w="3415"/>
        <w:gridCol w:w="992"/>
        <w:gridCol w:w="4536"/>
      </w:tblGrid>
      <w:tr w:rsidR="0033610C" w:rsidRPr="00421178" w14:paraId="76188DCD" w14:textId="77777777" w:rsidTr="0051671E">
        <w:trPr>
          <w:tblHeader/>
        </w:trPr>
        <w:tc>
          <w:tcPr>
            <w:tcW w:w="0" w:type="auto"/>
            <w:shd w:val="clear" w:color="auto" w:fill="100249" w:themeFill="accent4"/>
          </w:tcPr>
          <w:p w14:paraId="7EB4B78C" w14:textId="77777777" w:rsidR="0033610C" w:rsidRPr="00421178" w:rsidRDefault="0033610C" w:rsidP="0051671E">
            <w:pPr>
              <w:pStyle w:val="Tabletitle"/>
              <w:rPr>
                <w:rStyle w:val="Strong"/>
                <w:rFonts w:asciiTheme="majorHAnsi" w:hAnsiTheme="majorHAnsi" w:cstheme="majorHAnsi"/>
                <w:sz w:val="16"/>
                <w:szCs w:val="16"/>
              </w:rPr>
            </w:pPr>
            <w:r w:rsidRPr="00421178">
              <w:rPr>
                <w:rStyle w:val="Strong"/>
                <w:rFonts w:asciiTheme="majorHAnsi" w:hAnsiTheme="majorHAnsi" w:cstheme="majorHAnsi"/>
                <w:sz w:val="16"/>
                <w:szCs w:val="16"/>
              </w:rPr>
              <w:t>Rec / Finding number</w:t>
            </w:r>
          </w:p>
        </w:tc>
        <w:tc>
          <w:tcPr>
            <w:tcW w:w="3415" w:type="dxa"/>
            <w:shd w:val="clear" w:color="auto" w:fill="100249" w:themeFill="accent4"/>
          </w:tcPr>
          <w:p w14:paraId="75F26A4C" w14:textId="77777777" w:rsidR="0033610C" w:rsidRPr="00421178" w:rsidRDefault="0033610C" w:rsidP="0051671E">
            <w:pPr>
              <w:pStyle w:val="Tabletitle"/>
              <w:rPr>
                <w:rStyle w:val="Strong"/>
                <w:rFonts w:asciiTheme="majorHAnsi" w:hAnsiTheme="majorHAnsi" w:cstheme="majorHAnsi"/>
                <w:sz w:val="16"/>
                <w:szCs w:val="16"/>
              </w:rPr>
            </w:pPr>
            <w:r w:rsidRPr="00421178">
              <w:rPr>
                <w:rStyle w:val="Strong"/>
                <w:rFonts w:asciiTheme="majorHAnsi" w:hAnsiTheme="majorHAnsi" w:cstheme="majorHAnsi"/>
                <w:sz w:val="16"/>
                <w:szCs w:val="16"/>
              </w:rPr>
              <w:t>Main Panel Recommendations and Findings (2019)</w:t>
            </w:r>
          </w:p>
        </w:tc>
        <w:tc>
          <w:tcPr>
            <w:tcW w:w="992" w:type="dxa"/>
            <w:shd w:val="clear" w:color="auto" w:fill="100249" w:themeFill="accent4"/>
          </w:tcPr>
          <w:p w14:paraId="6FE4C9F0" w14:textId="77777777" w:rsidR="0033610C" w:rsidRPr="00421178" w:rsidRDefault="0033610C" w:rsidP="0051671E">
            <w:pPr>
              <w:pStyle w:val="Tabletitle"/>
              <w:rPr>
                <w:rStyle w:val="Strong"/>
                <w:rFonts w:asciiTheme="majorHAnsi" w:hAnsiTheme="majorHAnsi" w:cstheme="majorHAnsi"/>
                <w:sz w:val="16"/>
                <w:szCs w:val="16"/>
              </w:rPr>
            </w:pPr>
            <w:r w:rsidRPr="00421178">
              <w:rPr>
                <w:rStyle w:val="Strong"/>
                <w:rFonts w:asciiTheme="majorHAnsi" w:hAnsiTheme="majorHAnsi" w:cstheme="majorHAnsi"/>
                <w:sz w:val="16"/>
                <w:szCs w:val="16"/>
              </w:rPr>
              <w:t>Response</w:t>
            </w:r>
          </w:p>
        </w:tc>
        <w:tc>
          <w:tcPr>
            <w:tcW w:w="4536" w:type="dxa"/>
            <w:shd w:val="clear" w:color="auto" w:fill="100249" w:themeFill="accent4"/>
          </w:tcPr>
          <w:p w14:paraId="3723DE6B" w14:textId="77777777" w:rsidR="0033610C" w:rsidRPr="00421178" w:rsidRDefault="0033610C" w:rsidP="0051671E">
            <w:pPr>
              <w:pStyle w:val="Tabletitle"/>
              <w:rPr>
                <w:rStyle w:val="Strong"/>
                <w:rFonts w:asciiTheme="majorHAnsi" w:hAnsiTheme="majorHAnsi" w:cstheme="majorHAnsi"/>
                <w:sz w:val="16"/>
                <w:szCs w:val="16"/>
              </w:rPr>
            </w:pPr>
            <w:r w:rsidRPr="00421178">
              <w:rPr>
                <w:rStyle w:val="Strong"/>
                <w:rFonts w:asciiTheme="majorHAnsi" w:hAnsiTheme="majorHAnsi" w:cstheme="majorHAnsi"/>
                <w:sz w:val="16"/>
                <w:szCs w:val="16"/>
              </w:rPr>
              <w:t>Comments</w:t>
            </w:r>
          </w:p>
        </w:tc>
      </w:tr>
      <w:tr w:rsidR="0033610C" w:rsidRPr="00421178" w14:paraId="19EE938B" w14:textId="77777777" w:rsidTr="0051671E">
        <w:trPr>
          <w:trHeight w:val="358"/>
        </w:trPr>
        <w:tc>
          <w:tcPr>
            <w:tcW w:w="0" w:type="auto"/>
            <w:tcBorders>
              <w:bottom w:val="single" w:sz="4" w:space="0" w:color="100249" w:themeColor="accent4"/>
            </w:tcBorders>
          </w:tcPr>
          <w:p w14:paraId="2704F6FF"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F1</w:t>
            </w:r>
          </w:p>
        </w:tc>
        <w:tc>
          <w:tcPr>
            <w:tcW w:w="3415" w:type="dxa"/>
            <w:tcBorders>
              <w:bottom w:val="single" w:sz="4" w:space="0" w:color="100249" w:themeColor="accent4"/>
            </w:tcBorders>
          </w:tcPr>
          <w:p w14:paraId="0484627E"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The suggested population monitoring and modelling framework is theoretically sound and appropriate (i.e. 2017 report)</w:t>
            </w:r>
          </w:p>
        </w:tc>
        <w:tc>
          <w:tcPr>
            <w:tcW w:w="992" w:type="dxa"/>
            <w:tcBorders>
              <w:bottom w:val="single" w:sz="4" w:space="0" w:color="100249" w:themeColor="accent4"/>
            </w:tcBorders>
          </w:tcPr>
          <w:p w14:paraId="65C324AF" w14:textId="77777777" w:rsidR="0033610C" w:rsidRPr="00421178" w:rsidRDefault="0033610C" w:rsidP="0051671E">
            <w:pPr>
              <w:pStyle w:val="Tabletext"/>
              <w:rPr>
                <w:rFonts w:asciiTheme="majorHAnsi" w:hAnsiTheme="majorHAnsi" w:cstheme="majorHAnsi"/>
                <w:sz w:val="16"/>
                <w:szCs w:val="16"/>
              </w:rPr>
            </w:pPr>
          </w:p>
        </w:tc>
        <w:tc>
          <w:tcPr>
            <w:tcW w:w="4536" w:type="dxa"/>
            <w:tcBorders>
              <w:bottom w:val="single" w:sz="4" w:space="0" w:color="100249" w:themeColor="accent4"/>
            </w:tcBorders>
          </w:tcPr>
          <w:p w14:paraId="0A632E29" w14:textId="77777777" w:rsidR="0033610C" w:rsidRPr="00421178" w:rsidRDefault="0033610C" w:rsidP="0051671E">
            <w:pPr>
              <w:pStyle w:val="Tabletext"/>
              <w:rPr>
                <w:rFonts w:asciiTheme="majorHAnsi" w:hAnsiTheme="majorHAnsi" w:cstheme="majorHAnsi"/>
                <w:sz w:val="16"/>
                <w:szCs w:val="16"/>
              </w:rPr>
            </w:pPr>
          </w:p>
        </w:tc>
      </w:tr>
      <w:tr w:rsidR="0033610C" w:rsidRPr="00421178" w14:paraId="53726347" w14:textId="77777777" w:rsidTr="0051671E">
        <w:tc>
          <w:tcPr>
            <w:tcW w:w="0" w:type="auto"/>
            <w:tcBorders>
              <w:top w:val="single" w:sz="4" w:space="0" w:color="100249" w:themeColor="accent4"/>
              <w:bottom w:val="single" w:sz="4" w:space="0" w:color="100249" w:themeColor="accent4"/>
            </w:tcBorders>
          </w:tcPr>
          <w:p w14:paraId="709EFB42"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F2</w:t>
            </w:r>
          </w:p>
        </w:tc>
        <w:tc>
          <w:tcPr>
            <w:tcW w:w="3415" w:type="dxa"/>
            <w:tcBorders>
              <w:top w:val="single" w:sz="4" w:space="0" w:color="100249" w:themeColor="accent4"/>
              <w:bottom w:val="single" w:sz="4" w:space="0" w:color="100249" w:themeColor="accent4"/>
            </w:tcBorders>
          </w:tcPr>
          <w:p w14:paraId="1E1A02EC"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 xml:space="preserve">However, given the modelling proposed requires additional survey effort, the panel recommends that a desktop study should be conducted initially </w:t>
            </w:r>
          </w:p>
        </w:tc>
        <w:tc>
          <w:tcPr>
            <w:tcW w:w="992" w:type="dxa"/>
            <w:tcBorders>
              <w:top w:val="single" w:sz="4" w:space="0" w:color="100249" w:themeColor="accent4"/>
              <w:bottom w:val="single" w:sz="4" w:space="0" w:color="100249" w:themeColor="accent4"/>
            </w:tcBorders>
          </w:tcPr>
          <w:p w14:paraId="66EED998"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 xml:space="preserve"> </w:t>
            </w:r>
          </w:p>
        </w:tc>
        <w:tc>
          <w:tcPr>
            <w:tcW w:w="4536" w:type="dxa"/>
            <w:tcBorders>
              <w:top w:val="single" w:sz="4" w:space="0" w:color="100249" w:themeColor="accent4"/>
              <w:bottom w:val="single" w:sz="4" w:space="0" w:color="100249" w:themeColor="accent4"/>
            </w:tcBorders>
          </w:tcPr>
          <w:p w14:paraId="741E8F75"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 xml:space="preserve"> </w:t>
            </w:r>
          </w:p>
        </w:tc>
      </w:tr>
      <w:tr w:rsidR="0033610C" w:rsidRPr="00421178" w14:paraId="0F9F0B72" w14:textId="77777777" w:rsidTr="0051671E">
        <w:tc>
          <w:tcPr>
            <w:tcW w:w="0" w:type="auto"/>
            <w:tcBorders>
              <w:top w:val="single" w:sz="4" w:space="0" w:color="100249" w:themeColor="accent4"/>
              <w:bottom w:val="single" w:sz="4" w:space="0" w:color="100249" w:themeColor="accent4"/>
            </w:tcBorders>
          </w:tcPr>
          <w:p w14:paraId="66578AA9"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R1</w:t>
            </w:r>
          </w:p>
        </w:tc>
        <w:tc>
          <w:tcPr>
            <w:tcW w:w="3415" w:type="dxa"/>
            <w:tcBorders>
              <w:top w:val="single" w:sz="4" w:space="0" w:color="100249" w:themeColor="accent4"/>
              <w:bottom w:val="single" w:sz="4" w:space="0" w:color="100249" w:themeColor="accent4"/>
            </w:tcBorders>
          </w:tcPr>
          <w:p w14:paraId="476F5680"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Review available datasets relevant to waterfowl in Victoria and adjacent areas, and identify data deficiencies</w:t>
            </w:r>
          </w:p>
        </w:tc>
        <w:tc>
          <w:tcPr>
            <w:tcW w:w="992" w:type="dxa"/>
            <w:tcBorders>
              <w:top w:val="single" w:sz="4" w:space="0" w:color="100249" w:themeColor="accent4"/>
              <w:bottom w:val="single" w:sz="4" w:space="0" w:color="100249" w:themeColor="accent4"/>
            </w:tcBorders>
          </w:tcPr>
          <w:p w14:paraId="155655ED"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 xml:space="preserve">Support </w:t>
            </w:r>
          </w:p>
        </w:tc>
        <w:tc>
          <w:tcPr>
            <w:tcW w:w="4536" w:type="dxa"/>
            <w:tcBorders>
              <w:top w:val="single" w:sz="4" w:space="0" w:color="100249" w:themeColor="accent4"/>
              <w:bottom w:val="single" w:sz="4" w:space="0" w:color="100249" w:themeColor="accent4"/>
            </w:tcBorders>
          </w:tcPr>
          <w:p w14:paraId="2C2B2E61"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 xml:space="preserve">Existing datasets will be reviewed to identify data deficiencies and explore the possibility of developing models of relative waterfowl abundance. As part of the design of a monitoring program (see R2), historical game duck harvest offtake has been modelled to determine the relationship between seasonal harvest regulations and the size of the recreational harvest. </w:t>
            </w:r>
          </w:p>
        </w:tc>
      </w:tr>
      <w:tr w:rsidR="0033610C" w:rsidRPr="00421178" w14:paraId="50F54B8C" w14:textId="77777777" w:rsidTr="0051671E">
        <w:tc>
          <w:tcPr>
            <w:tcW w:w="0" w:type="auto"/>
            <w:tcBorders>
              <w:top w:val="single" w:sz="4" w:space="0" w:color="100249" w:themeColor="accent4"/>
              <w:bottom w:val="single" w:sz="4" w:space="0" w:color="100249" w:themeColor="accent4"/>
            </w:tcBorders>
          </w:tcPr>
          <w:p w14:paraId="6386BD79"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R2</w:t>
            </w:r>
          </w:p>
        </w:tc>
        <w:tc>
          <w:tcPr>
            <w:tcW w:w="3415" w:type="dxa"/>
            <w:tcBorders>
              <w:top w:val="single" w:sz="4" w:space="0" w:color="100249" w:themeColor="accent4"/>
              <w:bottom w:val="single" w:sz="4" w:space="0" w:color="100249" w:themeColor="accent4"/>
            </w:tcBorders>
          </w:tcPr>
          <w:p w14:paraId="431FB97A"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Identify survey designs required to estimate the abundance of game duck species with given accuracy and precision;</w:t>
            </w:r>
          </w:p>
        </w:tc>
        <w:tc>
          <w:tcPr>
            <w:tcW w:w="992" w:type="dxa"/>
            <w:tcBorders>
              <w:top w:val="single" w:sz="4" w:space="0" w:color="100249" w:themeColor="accent4"/>
              <w:bottom w:val="single" w:sz="4" w:space="0" w:color="100249" w:themeColor="accent4"/>
            </w:tcBorders>
          </w:tcPr>
          <w:p w14:paraId="331B5417"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Support</w:t>
            </w:r>
          </w:p>
        </w:tc>
        <w:tc>
          <w:tcPr>
            <w:tcW w:w="4536" w:type="dxa"/>
            <w:tcBorders>
              <w:top w:val="single" w:sz="4" w:space="0" w:color="100249" w:themeColor="accent4"/>
              <w:bottom w:val="single" w:sz="4" w:space="0" w:color="100249" w:themeColor="accent4"/>
            </w:tcBorders>
          </w:tcPr>
          <w:p w14:paraId="3A75B6DF" w14:textId="77777777" w:rsidR="0033610C" w:rsidRPr="00421178" w:rsidRDefault="0033610C" w:rsidP="0051671E">
            <w:pPr>
              <w:pStyle w:val="Tabletext"/>
              <w:rPr>
                <w:rFonts w:asciiTheme="majorHAnsi" w:hAnsiTheme="majorHAnsi" w:cstheme="majorHAnsi"/>
                <w:sz w:val="16"/>
                <w:szCs w:val="16"/>
              </w:rPr>
            </w:pPr>
            <w:r>
              <w:rPr>
                <w:rFonts w:asciiTheme="majorHAnsi" w:hAnsiTheme="majorHAnsi" w:cstheme="majorHAnsi"/>
                <w:sz w:val="16"/>
                <w:szCs w:val="16"/>
              </w:rPr>
              <w:t xml:space="preserve">The </w:t>
            </w:r>
            <w:r w:rsidRPr="00421178">
              <w:rPr>
                <w:rFonts w:asciiTheme="majorHAnsi" w:hAnsiTheme="majorHAnsi" w:cstheme="majorHAnsi"/>
                <w:sz w:val="16"/>
                <w:szCs w:val="16"/>
              </w:rPr>
              <w:t xml:space="preserve">GMA commissioned </w:t>
            </w:r>
            <w:r>
              <w:rPr>
                <w:rFonts w:asciiTheme="majorHAnsi" w:hAnsiTheme="majorHAnsi" w:cstheme="majorHAnsi"/>
                <w:sz w:val="16"/>
                <w:szCs w:val="16"/>
              </w:rPr>
              <w:t xml:space="preserve">the </w:t>
            </w:r>
            <w:r w:rsidRPr="00421178">
              <w:rPr>
                <w:rFonts w:asciiTheme="majorHAnsi" w:hAnsiTheme="majorHAnsi" w:cstheme="majorHAnsi"/>
                <w:sz w:val="16"/>
                <w:szCs w:val="16"/>
              </w:rPr>
              <w:t xml:space="preserve">design of a monitoring program to estimate the abundance of game duck species with given accuracy and precision. </w:t>
            </w:r>
            <w:r w:rsidRPr="00421178">
              <w:rPr>
                <w:rFonts w:asciiTheme="majorHAnsi" w:hAnsiTheme="majorHAnsi" w:cstheme="majorHAnsi"/>
                <w:i/>
                <w:iCs/>
                <w:sz w:val="16"/>
                <w:szCs w:val="16"/>
              </w:rPr>
              <w:t>Design of a monitoring program for ducks</w:t>
            </w:r>
            <w:r w:rsidRPr="00421178">
              <w:rPr>
                <w:rFonts w:asciiTheme="majorHAnsi" w:hAnsiTheme="majorHAnsi" w:cstheme="majorHAnsi"/>
                <w:sz w:val="16"/>
                <w:szCs w:val="16"/>
              </w:rPr>
              <w:t xml:space="preserve"> was published in June 2020. The design was tested in a trial in November 2020 (see R7).</w:t>
            </w:r>
          </w:p>
        </w:tc>
      </w:tr>
      <w:tr w:rsidR="0033610C" w:rsidRPr="00421178" w14:paraId="779E1CB3" w14:textId="77777777" w:rsidTr="0051671E">
        <w:tc>
          <w:tcPr>
            <w:tcW w:w="0" w:type="auto"/>
            <w:tcBorders>
              <w:top w:val="single" w:sz="4" w:space="0" w:color="100249" w:themeColor="accent4"/>
              <w:bottom w:val="single" w:sz="4" w:space="0" w:color="100249" w:themeColor="accent4"/>
            </w:tcBorders>
          </w:tcPr>
          <w:p w14:paraId="6D601F16"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R3</w:t>
            </w:r>
          </w:p>
        </w:tc>
        <w:tc>
          <w:tcPr>
            <w:tcW w:w="3415" w:type="dxa"/>
            <w:tcBorders>
              <w:top w:val="single" w:sz="4" w:space="0" w:color="100249" w:themeColor="accent4"/>
              <w:bottom w:val="single" w:sz="4" w:space="0" w:color="100249" w:themeColor="accent4"/>
            </w:tcBorders>
          </w:tcPr>
          <w:p w14:paraId="1B95780B"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Undertake modelling of waterfowl relative abundance using historical datasets</w:t>
            </w:r>
          </w:p>
        </w:tc>
        <w:tc>
          <w:tcPr>
            <w:tcW w:w="992" w:type="dxa"/>
            <w:tcBorders>
              <w:top w:val="single" w:sz="4" w:space="0" w:color="100249" w:themeColor="accent4"/>
              <w:bottom w:val="single" w:sz="4" w:space="0" w:color="100249" w:themeColor="accent4"/>
            </w:tcBorders>
          </w:tcPr>
          <w:p w14:paraId="502B0AF2"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 xml:space="preserve">Not supported at this time </w:t>
            </w:r>
          </w:p>
        </w:tc>
        <w:tc>
          <w:tcPr>
            <w:tcW w:w="4536" w:type="dxa"/>
            <w:tcBorders>
              <w:top w:val="single" w:sz="4" w:space="0" w:color="100249" w:themeColor="accent4"/>
              <w:bottom w:val="single" w:sz="4" w:space="0" w:color="100249" w:themeColor="accent4"/>
            </w:tcBorders>
          </w:tcPr>
          <w:p w14:paraId="1E4FD4A9"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Issues with data suitability, resource cost and interstate experience in attempting to use existing datasets suggest this approach might not provide a cost-effective contribution in the Victorian context.</w:t>
            </w:r>
          </w:p>
        </w:tc>
      </w:tr>
      <w:tr w:rsidR="0033610C" w:rsidRPr="00421178" w14:paraId="7C51BCED" w14:textId="77777777" w:rsidTr="0051671E">
        <w:tc>
          <w:tcPr>
            <w:tcW w:w="0" w:type="auto"/>
            <w:tcBorders>
              <w:top w:val="single" w:sz="4" w:space="0" w:color="100249" w:themeColor="accent4"/>
              <w:bottom w:val="single" w:sz="4" w:space="0" w:color="100249" w:themeColor="accent4"/>
            </w:tcBorders>
          </w:tcPr>
          <w:p w14:paraId="07BFFFE8"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F3</w:t>
            </w:r>
          </w:p>
        </w:tc>
        <w:tc>
          <w:tcPr>
            <w:tcW w:w="3415" w:type="dxa"/>
            <w:tcBorders>
              <w:top w:val="single" w:sz="4" w:space="0" w:color="100249" w:themeColor="accent4"/>
              <w:bottom w:val="single" w:sz="4" w:space="0" w:color="100249" w:themeColor="accent4"/>
            </w:tcBorders>
          </w:tcPr>
          <w:p w14:paraId="6BC92AF0"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Strong stakeholder understanding and support will be essential for the establishment of an adaptive approach to harvest management that incorporates mathematical models</w:t>
            </w:r>
          </w:p>
        </w:tc>
        <w:tc>
          <w:tcPr>
            <w:tcW w:w="992" w:type="dxa"/>
            <w:tcBorders>
              <w:top w:val="single" w:sz="4" w:space="0" w:color="100249" w:themeColor="accent4"/>
              <w:bottom w:val="single" w:sz="4" w:space="0" w:color="100249" w:themeColor="accent4"/>
            </w:tcBorders>
          </w:tcPr>
          <w:p w14:paraId="1F813A37"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 xml:space="preserve"> </w:t>
            </w:r>
          </w:p>
        </w:tc>
        <w:tc>
          <w:tcPr>
            <w:tcW w:w="4536" w:type="dxa"/>
            <w:tcBorders>
              <w:top w:val="single" w:sz="4" w:space="0" w:color="100249" w:themeColor="accent4"/>
              <w:bottom w:val="single" w:sz="4" w:space="0" w:color="100249" w:themeColor="accent4"/>
            </w:tcBorders>
          </w:tcPr>
          <w:p w14:paraId="3BA321BA"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 xml:space="preserve"> </w:t>
            </w:r>
          </w:p>
        </w:tc>
      </w:tr>
      <w:tr w:rsidR="0033610C" w:rsidRPr="00421178" w14:paraId="3961FD5A" w14:textId="77777777" w:rsidTr="0051671E">
        <w:tc>
          <w:tcPr>
            <w:tcW w:w="0" w:type="auto"/>
            <w:tcBorders>
              <w:top w:val="single" w:sz="4" w:space="0" w:color="100249" w:themeColor="accent4"/>
              <w:bottom w:val="single" w:sz="4" w:space="0" w:color="100249" w:themeColor="accent4"/>
            </w:tcBorders>
          </w:tcPr>
          <w:p w14:paraId="66C9C090"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R4</w:t>
            </w:r>
          </w:p>
        </w:tc>
        <w:tc>
          <w:tcPr>
            <w:tcW w:w="3415" w:type="dxa"/>
            <w:tcBorders>
              <w:top w:val="single" w:sz="4" w:space="0" w:color="100249" w:themeColor="accent4"/>
              <w:bottom w:val="single" w:sz="4" w:space="0" w:color="100249" w:themeColor="accent4"/>
            </w:tcBorders>
          </w:tcPr>
          <w:p w14:paraId="64ED46E0"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A broader harvest management planning framework be developed through a collaborative multi-stakeholder process, within which a conceptual model of waterfowl population dynamics can be discussed and evolved with stakeholders</w:t>
            </w:r>
          </w:p>
        </w:tc>
        <w:tc>
          <w:tcPr>
            <w:tcW w:w="992" w:type="dxa"/>
            <w:tcBorders>
              <w:top w:val="single" w:sz="4" w:space="0" w:color="100249" w:themeColor="accent4"/>
              <w:bottom w:val="single" w:sz="4" w:space="0" w:color="100249" w:themeColor="accent4"/>
            </w:tcBorders>
          </w:tcPr>
          <w:p w14:paraId="7DC4F529"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 xml:space="preserve">Support </w:t>
            </w:r>
          </w:p>
        </w:tc>
        <w:tc>
          <w:tcPr>
            <w:tcW w:w="4536" w:type="dxa"/>
            <w:tcBorders>
              <w:top w:val="single" w:sz="4" w:space="0" w:color="100249" w:themeColor="accent4"/>
              <w:bottom w:val="single" w:sz="4" w:space="0" w:color="100249" w:themeColor="accent4"/>
            </w:tcBorders>
          </w:tcPr>
          <w:p w14:paraId="07FE146B"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A Victorian Game Duck Harvest Management Framework will be developed in consultation with key stakeholders. The framework will foster a clear understanding of how game duck harvest management will operate in Victoria.</w:t>
            </w:r>
          </w:p>
        </w:tc>
      </w:tr>
      <w:tr w:rsidR="0033610C" w:rsidRPr="00421178" w14:paraId="6921B01C" w14:textId="77777777" w:rsidTr="0051671E">
        <w:tc>
          <w:tcPr>
            <w:tcW w:w="0" w:type="auto"/>
            <w:tcBorders>
              <w:top w:val="single" w:sz="4" w:space="0" w:color="100249" w:themeColor="accent4"/>
              <w:bottom w:val="single" w:sz="4" w:space="0" w:color="100249" w:themeColor="accent4"/>
            </w:tcBorders>
          </w:tcPr>
          <w:p w14:paraId="7F412D2C"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R5</w:t>
            </w:r>
          </w:p>
        </w:tc>
        <w:tc>
          <w:tcPr>
            <w:tcW w:w="3415" w:type="dxa"/>
            <w:tcBorders>
              <w:top w:val="single" w:sz="4" w:space="0" w:color="100249" w:themeColor="accent4"/>
              <w:bottom w:val="single" w:sz="4" w:space="0" w:color="100249" w:themeColor="accent4"/>
            </w:tcBorders>
          </w:tcPr>
          <w:p w14:paraId="026EFC21"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The review of existing datasets, and models developed using existing datasets, should be presented to stakeholders, with examples of how model outputs can be operationalised and embedded within a broader management strategy</w:t>
            </w:r>
          </w:p>
        </w:tc>
        <w:tc>
          <w:tcPr>
            <w:tcW w:w="992" w:type="dxa"/>
            <w:tcBorders>
              <w:top w:val="single" w:sz="4" w:space="0" w:color="100249" w:themeColor="accent4"/>
              <w:bottom w:val="single" w:sz="4" w:space="0" w:color="100249" w:themeColor="accent4"/>
            </w:tcBorders>
          </w:tcPr>
          <w:p w14:paraId="76CB3D4D"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 xml:space="preserve">Support </w:t>
            </w:r>
          </w:p>
        </w:tc>
        <w:tc>
          <w:tcPr>
            <w:tcW w:w="4536" w:type="dxa"/>
            <w:tcBorders>
              <w:top w:val="single" w:sz="4" w:space="0" w:color="100249" w:themeColor="accent4"/>
              <w:bottom w:val="single" w:sz="4" w:space="0" w:color="100249" w:themeColor="accent4"/>
            </w:tcBorders>
          </w:tcPr>
          <w:p w14:paraId="6DFB9F78"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Appropriate datasets and example models will be presented and clearly communicated through the Victorian Game Duck Harvest Management Framework.</w:t>
            </w:r>
          </w:p>
        </w:tc>
      </w:tr>
      <w:tr w:rsidR="0033610C" w:rsidRPr="00421178" w14:paraId="0CB50593" w14:textId="77777777" w:rsidTr="0051671E">
        <w:tc>
          <w:tcPr>
            <w:tcW w:w="0" w:type="auto"/>
            <w:tcBorders>
              <w:top w:val="single" w:sz="4" w:space="0" w:color="100249" w:themeColor="accent4"/>
              <w:bottom w:val="single" w:sz="4" w:space="0" w:color="100249" w:themeColor="accent4"/>
            </w:tcBorders>
          </w:tcPr>
          <w:p w14:paraId="4C6E0334"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R6</w:t>
            </w:r>
          </w:p>
        </w:tc>
        <w:tc>
          <w:tcPr>
            <w:tcW w:w="3415" w:type="dxa"/>
            <w:tcBorders>
              <w:top w:val="single" w:sz="4" w:space="0" w:color="100249" w:themeColor="accent4"/>
              <w:bottom w:val="single" w:sz="4" w:space="0" w:color="100249" w:themeColor="accent4"/>
            </w:tcBorders>
          </w:tcPr>
          <w:p w14:paraId="337DC459"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A simple harvest management framework be adopted initially, to clearly translate waterfowl monitoring and data on rainfall/wetland availability into harvest recommendations</w:t>
            </w:r>
          </w:p>
        </w:tc>
        <w:tc>
          <w:tcPr>
            <w:tcW w:w="992" w:type="dxa"/>
            <w:tcBorders>
              <w:top w:val="single" w:sz="4" w:space="0" w:color="100249" w:themeColor="accent4"/>
              <w:bottom w:val="single" w:sz="4" w:space="0" w:color="100249" w:themeColor="accent4"/>
            </w:tcBorders>
          </w:tcPr>
          <w:p w14:paraId="7AE257BB"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Support</w:t>
            </w:r>
          </w:p>
        </w:tc>
        <w:tc>
          <w:tcPr>
            <w:tcW w:w="4536" w:type="dxa"/>
            <w:tcBorders>
              <w:top w:val="single" w:sz="4" w:space="0" w:color="100249" w:themeColor="accent4"/>
              <w:bottom w:val="single" w:sz="4" w:space="0" w:color="100249" w:themeColor="accent4"/>
            </w:tcBorders>
          </w:tcPr>
          <w:p w14:paraId="584C9320" w14:textId="2650EA15"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 xml:space="preserve">A simple interim harvest management framework </w:t>
            </w:r>
            <w:r w:rsidR="00A96CF9">
              <w:rPr>
                <w:rFonts w:asciiTheme="majorHAnsi" w:hAnsiTheme="majorHAnsi" w:cstheme="majorHAnsi"/>
                <w:sz w:val="16"/>
                <w:szCs w:val="16"/>
              </w:rPr>
              <w:t xml:space="preserve">is currently being </w:t>
            </w:r>
            <w:r w:rsidRPr="00421178">
              <w:rPr>
                <w:rFonts w:asciiTheme="majorHAnsi" w:hAnsiTheme="majorHAnsi" w:cstheme="majorHAnsi"/>
                <w:sz w:val="16"/>
                <w:szCs w:val="16"/>
              </w:rPr>
              <w:t>considered.</w:t>
            </w:r>
          </w:p>
        </w:tc>
      </w:tr>
      <w:tr w:rsidR="0033610C" w:rsidRPr="00421178" w14:paraId="4141D7C8" w14:textId="77777777" w:rsidTr="0051671E">
        <w:tc>
          <w:tcPr>
            <w:tcW w:w="0" w:type="auto"/>
            <w:tcBorders>
              <w:top w:val="single" w:sz="4" w:space="0" w:color="100249" w:themeColor="accent4"/>
              <w:bottom w:val="single" w:sz="4" w:space="0" w:color="100249" w:themeColor="accent4"/>
            </w:tcBorders>
          </w:tcPr>
          <w:p w14:paraId="17A38ECE"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R7</w:t>
            </w:r>
          </w:p>
        </w:tc>
        <w:tc>
          <w:tcPr>
            <w:tcW w:w="3415" w:type="dxa"/>
            <w:tcBorders>
              <w:top w:val="single" w:sz="4" w:space="0" w:color="100249" w:themeColor="accent4"/>
              <w:bottom w:val="single" w:sz="4" w:space="0" w:color="100249" w:themeColor="accent4"/>
            </w:tcBorders>
          </w:tcPr>
          <w:p w14:paraId="78AA235D"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Ongoing development of the adaptive harvest model for waterfowl can be pursued simultaneously as a longer-term goal to assist management, noting it will require additional investment in modelling and data collection</w:t>
            </w:r>
          </w:p>
        </w:tc>
        <w:tc>
          <w:tcPr>
            <w:tcW w:w="992" w:type="dxa"/>
            <w:tcBorders>
              <w:top w:val="single" w:sz="4" w:space="0" w:color="100249" w:themeColor="accent4"/>
              <w:bottom w:val="single" w:sz="4" w:space="0" w:color="100249" w:themeColor="accent4"/>
            </w:tcBorders>
          </w:tcPr>
          <w:p w14:paraId="321B9F45" w14:textId="77777777" w:rsidR="0033610C" w:rsidRPr="00421178" w:rsidRDefault="0033610C" w:rsidP="0051671E">
            <w:pPr>
              <w:pStyle w:val="Tabletext"/>
              <w:rPr>
                <w:rFonts w:asciiTheme="majorHAnsi" w:hAnsiTheme="majorHAnsi" w:cstheme="majorHAnsi"/>
                <w:sz w:val="16"/>
                <w:szCs w:val="16"/>
              </w:rPr>
            </w:pPr>
            <w:r w:rsidRPr="00421178">
              <w:rPr>
                <w:rFonts w:asciiTheme="majorHAnsi" w:hAnsiTheme="majorHAnsi" w:cstheme="majorHAnsi"/>
                <w:sz w:val="16"/>
                <w:szCs w:val="16"/>
              </w:rPr>
              <w:t xml:space="preserve">Support </w:t>
            </w:r>
          </w:p>
        </w:tc>
        <w:tc>
          <w:tcPr>
            <w:tcW w:w="4536" w:type="dxa"/>
            <w:tcBorders>
              <w:top w:val="single" w:sz="4" w:space="0" w:color="100249" w:themeColor="accent4"/>
              <w:bottom w:val="single" w:sz="4" w:space="0" w:color="100249" w:themeColor="accent4"/>
            </w:tcBorders>
          </w:tcPr>
          <w:p w14:paraId="68B9F6E7" w14:textId="77777777" w:rsidR="0033610C" w:rsidRPr="00421178" w:rsidRDefault="0033610C" w:rsidP="0051671E">
            <w:pPr>
              <w:autoSpaceDE w:val="0"/>
              <w:autoSpaceDN w:val="0"/>
              <w:adjustRightInd w:val="0"/>
              <w:spacing w:before="0"/>
              <w:rPr>
                <w:rFonts w:asciiTheme="majorHAnsi" w:hAnsiTheme="majorHAnsi" w:cstheme="majorHAnsi"/>
                <w:sz w:val="16"/>
                <w:szCs w:val="16"/>
              </w:rPr>
            </w:pPr>
            <w:r w:rsidRPr="00421178">
              <w:rPr>
                <w:rFonts w:asciiTheme="majorHAnsi" w:hAnsiTheme="majorHAnsi" w:cstheme="majorHAnsi"/>
                <w:sz w:val="16"/>
                <w:szCs w:val="16"/>
              </w:rPr>
              <w:t>Development of the adaptive harvest model for waterfowl will be pursued simultaneously as a mid-term goal. A monitoring program to inform the harvest model has been designed (see R2). GMA commenced a trial to test the rigor of the monitoring program design in November 2020 using helicopters to survey game duck abundance and an analysis of satellite imagery to determine the extent of available habitat. Model-based estimates of abundance gathered in this study will also be used to test the ability to predict game duck abundances with monitoring data collected from the Riverina region of NSW. A draft evaluation report will be prepared by the end of March 2021.</w:t>
            </w:r>
          </w:p>
        </w:tc>
      </w:tr>
    </w:tbl>
    <w:p w14:paraId="2D35BE83" w14:textId="77777777" w:rsidR="004371F6" w:rsidRDefault="004371F6" w:rsidP="00B63B43"/>
    <w:bookmarkEnd w:id="3"/>
    <w:p w14:paraId="01DA6855" w14:textId="637265AE" w:rsidR="004371F6" w:rsidRDefault="0086526A" w:rsidP="0033610C">
      <w:r>
        <w:rPr>
          <w:noProof/>
        </w:rPr>
        <w:lastRenderedPageBreak/>
        <mc:AlternateContent>
          <mc:Choice Requires="wps">
            <w:drawing>
              <wp:anchor distT="0" distB="0" distL="114300" distR="114300" simplePos="0" relativeHeight="251661312" behindDoc="0" locked="1" layoutInCell="1" allowOverlap="1" wp14:anchorId="195CD5D4" wp14:editId="1983DF30">
                <wp:simplePos x="0" y="0"/>
                <wp:positionH relativeFrom="column">
                  <wp:posOffset>0</wp:posOffset>
                </wp:positionH>
                <wp:positionV relativeFrom="margin">
                  <wp:align>bottom</wp:align>
                </wp:positionV>
                <wp:extent cx="5762625" cy="1885950"/>
                <wp:effectExtent l="0" t="0" r="9525" b="0"/>
                <wp:wrapNone/>
                <wp:docPr id="123" name="Text Box 123"/>
                <wp:cNvGraphicFramePr/>
                <a:graphic xmlns:a="http://schemas.openxmlformats.org/drawingml/2006/main">
                  <a:graphicData uri="http://schemas.microsoft.com/office/word/2010/wordprocessingShape">
                    <wps:wsp>
                      <wps:cNvSpPr txBox="1"/>
                      <wps:spPr>
                        <a:xfrm>
                          <a:off x="0" y="0"/>
                          <a:ext cx="5763126" cy="1885950"/>
                        </a:xfrm>
                        <a:prstGeom prst="rect">
                          <a:avLst/>
                        </a:prstGeom>
                        <a:solidFill>
                          <a:schemeClr val="lt1"/>
                        </a:solidFill>
                        <a:ln w="6350">
                          <a:noFill/>
                        </a:ln>
                      </wps:spPr>
                      <wps:txbx>
                        <w:txbxContent>
                          <w:p w14:paraId="052C7654" w14:textId="615CE00D" w:rsidR="0086526A" w:rsidRPr="00E02831" w:rsidRDefault="0086526A" w:rsidP="0086526A">
                            <w:r w:rsidRPr="00E02831">
                              <w:t xml:space="preserve">Authorised by the </w:t>
                            </w:r>
                            <w:sdt>
                              <w:sdtPr>
                                <w:alias w:val="Authorised by"/>
                                <w:tag w:val="Authorised by"/>
                                <w:id w:val="1974017056"/>
                                <w:placeholder>
                                  <w:docPart w:val="E718F9700374413A9035A406BC03DC3E"/>
                                </w:placeholder>
                                <w15:color w:val="FF0000"/>
                              </w:sdtPr>
                              <w:sdtEndPr/>
                              <w:sdtContent>
                                <w:r w:rsidR="0033610C">
                                  <w:t>Department of Jobs, Precincts and Regions</w:t>
                                </w:r>
                              </w:sdtContent>
                            </w:sdt>
                            <w:r w:rsidRPr="00E02831">
                              <w:t xml:space="preserve"> </w:t>
                            </w:r>
                            <w:r w:rsidRPr="00043BBD">
                              <w:rPr>
                                <w:vanish/>
                                <w:highlight w:val="yellow"/>
                              </w:rPr>
                              <w:t>(example Hon.        )</w:t>
                            </w:r>
                            <w:r w:rsidRPr="00E02831">
                              <w:br/>
                              <w:t>1 Spring Street Melbourne Victoria 3000</w:t>
                            </w:r>
                            <w:r w:rsidRPr="00E02831">
                              <w:br/>
                              <w:t>Telephone (03) 9651 9999</w:t>
                            </w:r>
                          </w:p>
                          <w:p w14:paraId="15C428F8" w14:textId="40E5EAEF" w:rsidR="0086526A" w:rsidRPr="00E02831" w:rsidRDefault="0086526A" w:rsidP="0086526A">
                            <w:r w:rsidRPr="00E02831">
                              <w:t xml:space="preserve">© Copyright State of Victoria, </w:t>
                            </w:r>
                            <w:r w:rsidRPr="00E02831">
                              <w:br/>
                              <w:t xml:space="preserve">Department of Jobs, </w:t>
                            </w:r>
                            <w:r w:rsidRPr="005E284D">
                              <w:rPr>
                                <w:lang w:val="en-US"/>
                              </w:rPr>
                              <w:t>Precincts and Regions</w:t>
                            </w:r>
                            <w:r w:rsidRPr="00E02831">
                              <w:t xml:space="preserve"> 20</w:t>
                            </w:r>
                            <w:r w:rsidR="00966244">
                              <w:t>21</w:t>
                            </w:r>
                          </w:p>
                          <w:p w14:paraId="21646B44" w14:textId="77777777" w:rsidR="0086526A" w:rsidRPr="00E02831" w:rsidRDefault="0086526A" w:rsidP="0086526A">
                            <w:r w:rsidRPr="00E02831">
                              <w:t xml:space="preserve">Except for any logos, emblems, trademarks, </w:t>
                            </w:r>
                            <w:proofErr w:type="gramStart"/>
                            <w:r w:rsidRPr="00E02831">
                              <w:t>artwork</w:t>
                            </w:r>
                            <w:proofErr w:type="gramEnd"/>
                            <w:r w:rsidRPr="00E02831">
                              <w:t xml:space="preserve"> and photography this document is made available under the terms of the Creative Commons Attribution 3.0 Australia license.</w:t>
                            </w:r>
                          </w:p>
                          <w:p w14:paraId="2473D9E2" w14:textId="77777777" w:rsidR="0086526A" w:rsidRPr="00E02831" w:rsidRDefault="0086526A" w:rsidP="0086526A">
                            <w:r w:rsidRPr="00E02831">
                              <w:t xml:space="preserve">This document is also available in an accessible format at </w:t>
                            </w:r>
                            <w:hyperlink r:id="rId17" w:history="1">
                              <w:r w:rsidRPr="004F10C7">
                                <w:rPr>
                                  <w:rStyle w:val="Hyperlink"/>
                                </w:rPr>
                                <w:t>djpr.vic.gov.au</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CD5D4" id="_x0000_t202" coordsize="21600,21600" o:spt="202" path="m,l,21600r21600,l21600,xe">
                <v:stroke joinstyle="miter"/>
                <v:path gradientshapeok="t" o:connecttype="rect"/>
              </v:shapetype>
              <v:shape id="Text Box 123" o:spid="_x0000_s1026" type="#_x0000_t202" style="position:absolute;margin-left:0;margin-top:0;width:453.75pt;height:148.5pt;z-index:25166131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" fillcolor="white [3201]" stroked="f" strokeweight=".5pt">
                <v:textbox inset="0,0,0,0">
                  <w:txbxContent>
                    <w:p w14:paraId="052C7654" w14:textId="615CE00D" w:rsidR="0086526A" w:rsidRPr="00E02831" w:rsidRDefault="0086526A" w:rsidP="0086526A">
                      <w:r w:rsidRPr="00E02831">
                        <w:t xml:space="preserve">Authorised by the </w:t>
                      </w:r>
                      <w:sdt>
                        <w:sdtPr>
                          <w:alias w:val="Authorised by"/>
                          <w:tag w:val="Authorised by"/>
                          <w:id w:val="1974017056"/>
                          <w:placeholder>
                            <w:docPart w:val="E718F9700374413A9035A406BC03DC3E"/>
                          </w:placeholder>
                          <w15:color w:val="FF0000"/>
                        </w:sdtPr>
                        <w:sdtEndPr/>
                        <w:sdtContent>
                          <w:r w:rsidR="0033610C">
                            <w:t>Department of Jobs, Precincts and Regions</w:t>
                          </w:r>
                        </w:sdtContent>
                      </w:sdt>
                      <w:r w:rsidRPr="00E02831">
                        <w:t xml:space="preserve"> </w:t>
                      </w:r>
                      <w:r w:rsidRPr="00043BBD">
                        <w:rPr>
                          <w:vanish/>
                          <w:highlight w:val="yellow"/>
                        </w:rPr>
                        <w:t>(example Hon.        )</w:t>
                      </w:r>
                      <w:r w:rsidRPr="00E02831">
                        <w:br/>
                        <w:t>1 Spring Street Melbourne Victoria 3000</w:t>
                      </w:r>
                      <w:r w:rsidRPr="00E02831">
                        <w:br/>
                        <w:t>Telephone (03) 9651 9999</w:t>
                      </w:r>
                    </w:p>
                    <w:p w14:paraId="15C428F8" w14:textId="40E5EAEF" w:rsidR="0086526A" w:rsidRPr="00E02831" w:rsidRDefault="0086526A" w:rsidP="0086526A">
                      <w:r w:rsidRPr="00E02831">
                        <w:t xml:space="preserve">© Copyright State of Victoria, </w:t>
                      </w:r>
                      <w:r w:rsidRPr="00E02831">
                        <w:br/>
                        <w:t xml:space="preserve">Department of Jobs, </w:t>
                      </w:r>
                      <w:r w:rsidRPr="005E284D">
                        <w:rPr>
                          <w:lang w:val="en-US"/>
                        </w:rPr>
                        <w:t>Precincts and Regions</w:t>
                      </w:r>
                      <w:r w:rsidRPr="00E02831">
                        <w:t xml:space="preserve"> 20</w:t>
                      </w:r>
                      <w:r w:rsidR="00966244">
                        <w:t>21</w:t>
                      </w:r>
                    </w:p>
                    <w:p w14:paraId="21646B44" w14:textId="77777777" w:rsidR="0086526A" w:rsidRPr="00E02831" w:rsidRDefault="0086526A" w:rsidP="0086526A">
                      <w:r w:rsidRPr="00E02831">
                        <w:t xml:space="preserve">Except for any logos, emblems, trademarks, </w:t>
                      </w:r>
                      <w:proofErr w:type="gramStart"/>
                      <w:r w:rsidRPr="00E02831">
                        <w:t>artwork</w:t>
                      </w:r>
                      <w:proofErr w:type="gramEnd"/>
                      <w:r w:rsidRPr="00E02831">
                        <w:t xml:space="preserve"> and photography this document is made available under the terms of the Creative Commons Attribution 3.0 Australia license.</w:t>
                      </w:r>
                    </w:p>
                    <w:p w14:paraId="2473D9E2" w14:textId="77777777" w:rsidR="0086526A" w:rsidRPr="00E02831" w:rsidRDefault="0086526A" w:rsidP="0086526A">
                      <w:r w:rsidRPr="00E02831">
                        <w:t xml:space="preserve">This document is also available in an accessible format at </w:t>
                      </w:r>
                      <w:hyperlink r:id="rId18" w:history="1">
                        <w:r w:rsidRPr="004F10C7">
                          <w:rPr>
                            <w:rStyle w:val="Hyperlink"/>
                          </w:rPr>
                          <w:t>djpr.vic.gov.au</w:t>
                        </w:r>
                      </w:hyperlink>
                    </w:p>
                  </w:txbxContent>
                </v:textbox>
                <w10:wrap anchory="margin"/>
                <w10:anchorlock/>
              </v:shape>
            </w:pict>
          </mc:Fallback>
        </mc:AlternateContent>
      </w:r>
    </w:p>
    <w:p w14:paraId="32E135F5" w14:textId="77777777" w:rsidR="004371F6" w:rsidRPr="00644924" w:rsidRDefault="004371F6" w:rsidP="0033610C"/>
    <w:p w14:paraId="04DFD0E0" w14:textId="77777777" w:rsidR="004371F6" w:rsidRPr="00B14DDB" w:rsidRDefault="004371F6" w:rsidP="00B14DDB"/>
    <w:sectPr w:rsidR="004371F6" w:rsidRPr="00B14DDB" w:rsidSect="00FE5BB6">
      <w:headerReference w:type="even" r:id="rId19"/>
      <w:headerReference w:type="default" r:id="rId20"/>
      <w:headerReference w:type="first" r:id="rId21"/>
      <w:type w:val="oddPage"/>
      <w:pgSz w:w="11906" w:h="16838" w:code="9"/>
      <w:pgMar w:top="1134" w:right="1701" w:bottom="1134" w:left="1134"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A764E" w14:textId="77777777" w:rsidR="006E701A" w:rsidRDefault="006E701A" w:rsidP="00D96C1E">
      <w:r>
        <w:separator/>
      </w:r>
    </w:p>
    <w:p w14:paraId="67C96AF2" w14:textId="77777777" w:rsidR="006E701A" w:rsidRDefault="006E701A" w:rsidP="00D96C1E"/>
  </w:endnote>
  <w:endnote w:type="continuationSeparator" w:id="0">
    <w:p w14:paraId="0FA0DF2A" w14:textId="77777777" w:rsidR="006E701A" w:rsidRDefault="006E701A" w:rsidP="00D96C1E">
      <w:r>
        <w:continuationSeparator/>
      </w:r>
    </w:p>
    <w:p w14:paraId="299E03FC" w14:textId="77777777" w:rsidR="006E701A" w:rsidRDefault="006E701A" w:rsidP="00D96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63E0" w14:textId="77777777" w:rsidR="00572AA1" w:rsidRDefault="00572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5723C8" w:rsidRPr="00FB0DEA" w14:paraId="38032403" w14:textId="77777777" w:rsidTr="00F821D9">
              <w:tc>
                <w:tcPr>
                  <w:tcW w:w="3402" w:type="dxa"/>
                  <w:vAlign w:val="center"/>
                </w:tcPr>
                <w:p w14:paraId="2DF186C3" w14:textId="5C552DBD" w:rsidR="005723C8" w:rsidRPr="005723C8" w:rsidRDefault="00A322E3" w:rsidP="005723C8">
                  <w:pPr>
                    <w:pStyle w:val="Footer"/>
                    <w:tabs>
                      <w:tab w:val="clear" w:pos="14570"/>
                    </w:tabs>
                    <w:spacing w:before="0"/>
                  </w:pPr>
                  <w:r>
                    <w:fldChar w:fldCharType="begin"/>
                  </w:r>
                  <w:r>
                    <w:instrText xml:space="preserve"> STYLEREF  "Report title"  \* MERGEFORMAT </w:instrText>
                  </w:r>
                  <w:r>
                    <w:rPr>
                      <w:b/>
                      <w:bCs/>
                      <w:noProof/>
                      <w:lang w:val="en-US"/>
                    </w:rPr>
                    <w:fldChar w:fldCharType="end"/>
                  </w:r>
                </w:p>
              </w:tc>
              <w:tc>
                <w:tcPr>
                  <w:tcW w:w="2410" w:type="dxa"/>
                  <w:vAlign w:val="center"/>
                </w:tcPr>
                <w:p w14:paraId="25CBA7A8" w14:textId="4DA33069" w:rsidR="005723C8" w:rsidRPr="005723C8" w:rsidRDefault="005723C8" w:rsidP="005723C8">
                  <w:pPr>
                    <w:pStyle w:val="Footer"/>
                    <w:tabs>
                      <w:tab w:val="clear" w:pos="14570"/>
                    </w:tabs>
                    <w:spacing w:before="0"/>
                    <w:jc w:val="center"/>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sidRPr="005723C8">
                    <w:rPr>
                      <w:rStyle w:val="PageNumber"/>
                    </w:rPr>
                    <w:t>2</w:t>
                  </w:r>
                  <w:r w:rsidRPr="005723C8">
                    <w:rPr>
                      <w:rStyle w:val="PageNumber"/>
                    </w:rPr>
                    <w:fldChar w:fldCharType="end"/>
                  </w:r>
                  <w:r w:rsidRPr="005723C8">
                    <w:rPr>
                      <w:rStyle w:val="PageNumber"/>
                    </w:rPr>
                    <w:t xml:space="preserve"> of </w:t>
                  </w:r>
                  <w:r w:rsidR="00572AA1">
                    <w:rPr>
                      <w:rStyle w:val="PageNumber"/>
                    </w:rPr>
                    <w:t>4</w:t>
                  </w:r>
                </w:p>
              </w:tc>
              <w:tc>
                <w:tcPr>
                  <w:tcW w:w="4211" w:type="dxa"/>
                </w:tcPr>
                <w:p w14:paraId="10EB9015" w14:textId="77777777" w:rsidR="005723C8" w:rsidRPr="00FB0DEA" w:rsidRDefault="005723C8" w:rsidP="005723C8">
                  <w:pPr>
                    <w:pStyle w:val="Footer"/>
                    <w:tabs>
                      <w:tab w:val="clear" w:pos="14570"/>
                    </w:tabs>
                    <w:spacing w:before="0"/>
                    <w:jc w:val="right"/>
                  </w:pPr>
                  <w:r w:rsidRPr="00EE5398">
                    <w:rPr>
                      <w:noProof/>
                      <w:lang w:val="en-GB" w:eastAsia="en-GB"/>
                    </w:rPr>
                    <w:drawing>
                      <wp:inline distT="0" distB="0" distL="0" distR="0" wp14:anchorId="169DA4D1" wp14:editId="38C8AF5B">
                        <wp:extent cx="1335600" cy="403200"/>
                        <wp:effectExtent l="0" t="0" r="0" b="0"/>
                        <wp:docPr id="129" name="Picture 129" descr="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extLst>
                                    <a:ext uri="{28A0092B-C50C-407E-A947-70E740481C1C}">
                                      <a14:useLocalDpi xmlns:a14="http://schemas.microsoft.com/office/drawing/2010/main" val="0"/>
                                    </a:ext>
                                  </a:extLst>
                                </a:blip>
                                <a:stretch>
                                  <a:fillRect/>
                                </a:stretch>
                              </pic:blipFill>
                              <pic:spPr>
                                <a:xfrm>
                                  <a:off x="0" y="0"/>
                                  <a:ext cx="1335600" cy="403200"/>
                                </a:xfrm>
                                <a:prstGeom prst="rect">
                                  <a:avLst/>
                                </a:prstGeom>
                              </pic:spPr>
                            </pic:pic>
                          </a:graphicData>
                        </a:graphic>
                      </wp:inline>
                    </w:drawing>
                  </w:r>
                </w:p>
              </w:tc>
            </w:tr>
          </w:sdtContent>
        </w:sdt>
      </w:sdtContent>
    </w:sdt>
  </w:tbl>
  <w:p w14:paraId="6B894B46" w14:textId="77777777" w:rsidR="0000762E" w:rsidRPr="005723C8" w:rsidRDefault="0000762E" w:rsidP="005723C8">
    <w:pPr>
      <w:pStyle w:val="Footer"/>
      <w:tabs>
        <w:tab w:val="right" w:pos="7371"/>
      </w:tabs>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D21D7" w14:textId="6A1DD79D" w:rsidR="00572AA1" w:rsidRDefault="00572AA1" w:rsidP="00572AA1">
    <w:pPr>
      <w:pStyle w:val="Footer"/>
      <w:tabs>
        <w:tab w:val="clear" w:pos="14570"/>
        <w:tab w:val="left" w:pos="4070"/>
      </w:tabs>
    </w:pPr>
    <w:r>
      <w:tab/>
    </w: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2</w:t>
    </w:r>
    <w:r w:rsidRPr="005723C8">
      <w:rPr>
        <w:rStyle w:val="PageNumber"/>
      </w:rPr>
      <w:fldChar w:fldCharType="end"/>
    </w:r>
    <w:r w:rsidRPr="005723C8">
      <w:rPr>
        <w:rStyle w:val="PageNumber"/>
      </w:rPr>
      <w:t xml:space="preserve"> of </w:t>
    </w:r>
    <w:r>
      <w:rPr>
        <w:rStyle w:val="PageNumbe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21908" w14:textId="77777777" w:rsidR="006E701A" w:rsidRDefault="006E701A" w:rsidP="00D96C1E">
      <w:r>
        <w:separator/>
      </w:r>
    </w:p>
    <w:p w14:paraId="04473348" w14:textId="77777777" w:rsidR="006E701A" w:rsidRDefault="006E701A" w:rsidP="00D96C1E"/>
  </w:footnote>
  <w:footnote w:type="continuationSeparator" w:id="0">
    <w:p w14:paraId="6A78B91F" w14:textId="77777777" w:rsidR="006E701A" w:rsidRDefault="006E701A" w:rsidP="00D96C1E">
      <w:r>
        <w:continuationSeparator/>
      </w:r>
    </w:p>
    <w:p w14:paraId="3462D5AB" w14:textId="77777777" w:rsidR="006E701A" w:rsidRDefault="006E701A" w:rsidP="00D96C1E"/>
  </w:footnote>
  <w:footnote w:id="1">
    <w:p w14:paraId="11178017" w14:textId="77777777" w:rsidR="0033610C" w:rsidRPr="00DD31C1" w:rsidRDefault="0033610C" w:rsidP="0033610C">
      <w:pPr>
        <w:pStyle w:val="FootnoteText"/>
        <w:rPr>
          <w:rFonts w:asciiTheme="minorHAnsi" w:hAnsiTheme="minorHAnsi" w:cstheme="minorHAnsi"/>
          <w:color w:val="53565A" w:themeColor="accent2"/>
          <w:sz w:val="18"/>
          <w:szCs w:val="18"/>
        </w:rPr>
      </w:pPr>
      <w:r w:rsidRPr="00DD31C1">
        <w:rPr>
          <w:rStyle w:val="FootnoteReference"/>
          <w:rFonts w:asciiTheme="minorHAnsi" w:hAnsiTheme="minorHAnsi" w:cstheme="minorHAnsi"/>
          <w:color w:val="53565A" w:themeColor="accent2"/>
          <w:sz w:val="18"/>
          <w:szCs w:val="18"/>
        </w:rPr>
        <w:footnoteRef/>
      </w:r>
      <w:r w:rsidRPr="00DD31C1">
        <w:rPr>
          <w:rFonts w:asciiTheme="minorHAnsi" w:hAnsiTheme="minorHAnsi" w:cstheme="minorHAnsi"/>
          <w:color w:val="53565A" w:themeColor="accent2"/>
          <w:sz w:val="18"/>
          <w:szCs w:val="18"/>
        </w:rPr>
        <w:t xml:space="preserve">  Prowse, T., Briggs, S., Cooney, R., Kingsford, R., </w:t>
      </w:r>
      <w:proofErr w:type="spellStart"/>
      <w:r w:rsidRPr="00DD31C1">
        <w:rPr>
          <w:rFonts w:asciiTheme="minorHAnsi" w:hAnsiTheme="minorHAnsi" w:cstheme="minorHAnsi"/>
          <w:color w:val="53565A" w:themeColor="accent2"/>
          <w:sz w:val="18"/>
          <w:szCs w:val="18"/>
        </w:rPr>
        <w:t>Klaassen</w:t>
      </w:r>
      <w:proofErr w:type="spellEnd"/>
      <w:r w:rsidRPr="00DD31C1">
        <w:rPr>
          <w:rFonts w:asciiTheme="minorHAnsi" w:hAnsiTheme="minorHAnsi" w:cstheme="minorHAnsi"/>
          <w:color w:val="53565A" w:themeColor="accent2"/>
          <w:sz w:val="18"/>
          <w:szCs w:val="18"/>
        </w:rPr>
        <w:t xml:space="preserve">, M., Webb, G. and Whitehead, P., (2019) </w:t>
      </w:r>
      <w:r w:rsidRPr="00DD31C1">
        <w:rPr>
          <w:rFonts w:asciiTheme="minorHAnsi" w:hAnsiTheme="minorHAnsi" w:cstheme="minorHAnsi"/>
          <w:i/>
          <w:color w:val="53565A" w:themeColor="accent2"/>
          <w:sz w:val="18"/>
          <w:szCs w:val="18"/>
        </w:rPr>
        <w:t xml:space="preserve">Waterfowl Adaptive Harvest Model: Expert Panel Review, </w:t>
      </w:r>
      <w:r w:rsidRPr="00DD31C1">
        <w:rPr>
          <w:rFonts w:asciiTheme="minorHAnsi" w:hAnsiTheme="minorHAnsi" w:cstheme="minorHAnsi"/>
          <w:color w:val="53565A" w:themeColor="accent2"/>
          <w:sz w:val="18"/>
          <w:szCs w:val="18"/>
        </w:rPr>
        <w:t>October</w:t>
      </w:r>
      <w:r w:rsidRPr="00DD31C1">
        <w:rPr>
          <w:rFonts w:asciiTheme="minorHAnsi" w:hAnsiTheme="minorHAnsi" w:cstheme="minorHAnsi"/>
          <w:i/>
          <w:color w:val="53565A" w:themeColor="accent2"/>
          <w:sz w:val="18"/>
          <w:szCs w:val="18"/>
        </w:rPr>
        <w:t xml:space="preserve">. </w:t>
      </w:r>
      <w:r w:rsidRPr="003B6913">
        <w:rPr>
          <w:rFonts w:asciiTheme="minorHAnsi" w:hAnsiTheme="minorHAnsi" w:cstheme="minorHAnsi"/>
          <w:color w:val="53565A" w:themeColor="accent2"/>
          <w:sz w:val="18"/>
          <w:szCs w:val="18"/>
        </w:rPr>
        <w:t>Available at</w:t>
      </w:r>
      <w:r w:rsidRPr="00DD31C1">
        <w:rPr>
          <w:rFonts w:asciiTheme="minorHAnsi" w:hAnsiTheme="minorHAnsi" w:cstheme="minorHAnsi"/>
          <w:color w:val="53565A" w:themeColor="accent2"/>
          <w:sz w:val="18"/>
          <w:szCs w:val="18"/>
        </w:rPr>
        <w:t xml:space="preserve"> </w:t>
      </w:r>
      <w:hyperlink r:id="rId1" w:history="1">
        <w:r w:rsidRPr="00DD31C1">
          <w:rPr>
            <w:rStyle w:val="Hyperlink"/>
            <w:rFonts w:asciiTheme="minorHAnsi" w:hAnsiTheme="minorHAnsi" w:cstheme="minorHAnsi"/>
            <w:color w:val="53565A" w:themeColor="accent2"/>
            <w:sz w:val="18"/>
            <w:szCs w:val="18"/>
          </w:rPr>
          <w:t>https://djpr.vic.gov.au/game-hunting</w:t>
        </w:r>
      </w:hyperlink>
    </w:p>
  </w:footnote>
  <w:footnote w:id="2">
    <w:p w14:paraId="4D99B903" w14:textId="77777777" w:rsidR="0033610C" w:rsidRDefault="0033610C" w:rsidP="0033610C">
      <w:pPr>
        <w:pStyle w:val="FootnoteText"/>
      </w:pPr>
      <w:r w:rsidRPr="00DD31C1">
        <w:rPr>
          <w:rStyle w:val="FootnoteReference"/>
          <w:rFonts w:asciiTheme="minorHAnsi" w:hAnsiTheme="minorHAnsi" w:cstheme="minorHAnsi"/>
          <w:color w:val="53565A" w:themeColor="accent2"/>
          <w:sz w:val="18"/>
          <w:szCs w:val="18"/>
        </w:rPr>
        <w:footnoteRef/>
      </w:r>
      <w:r w:rsidRPr="00DD31C1">
        <w:rPr>
          <w:rFonts w:asciiTheme="minorHAnsi" w:hAnsiTheme="minorHAnsi" w:cstheme="minorHAnsi"/>
          <w:color w:val="53565A" w:themeColor="accent2"/>
          <w:sz w:val="18"/>
          <w:szCs w:val="18"/>
        </w:rPr>
        <w:t xml:space="preserve"> Ramsey, D., </w:t>
      </w:r>
      <w:proofErr w:type="spellStart"/>
      <w:r w:rsidRPr="00DD31C1">
        <w:rPr>
          <w:rFonts w:asciiTheme="minorHAnsi" w:hAnsiTheme="minorHAnsi" w:cstheme="minorHAnsi"/>
          <w:color w:val="53565A" w:themeColor="accent2"/>
          <w:sz w:val="18"/>
          <w:szCs w:val="18"/>
        </w:rPr>
        <w:t>Pacioni</w:t>
      </w:r>
      <w:proofErr w:type="spellEnd"/>
      <w:r w:rsidRPr="00DD31C1">
        <w:rPr>
          <w:rFonts w:asciiTheme="minorHAnsi" w:hAnsiTheme="minorHAnsi" w:cstheme="minorHAnsi"/>
          <w:color w:val="53565A" w:themeColor="accent2"/>
          <w:sz w:val="18"/>
          <w:szCs w:val="18"/>
        </w:rPr>
        <w:t xml:space="preserve">, C., McLeod, S. and Dundas, S. (2017) </w:t>
      </w:r>
      <w:r w:rsidRPr="00DD31C1">
        <w:rPr>
          <w:rFonts w:asciiTheme="minorHAnsi" w:hAnsiTheme="minorHAnsi" w:cstheme="minorHAnsi"/>
          <w:i/>
          <w:color w:val="53565A" w:themeColor="accent2"/>
          <w:sz w:val="18"/>
          <w:szCs w:val="18"/>
        </w:rPr>
        <w:t>Towards the implementation of adaptive harvest management of waterfowl in south-eastern Australia</w:t>
      </w:r>
      <w:r w:rsidRPr="00DD31C1">
        <w:rPr>
          <w:rFonts w:asciiTheme="minorHAnsi" w:hAnsiTheme="minorHAnsi" w:cstheme="minorHAnsi"/>
          <w:color w:val="53565A" w:themeColor="accent2"/>
          <w:sz w:val="18"/>
          <w:szCs w:val="18"/>
        </w:rPr>
        <w:t xml:space="preserve">, Arthur </w:t>
      </w:r>
      <w:proofErr w:type="spellStart"/>
      <w:r w:rsidRPr="00DD31C1">
        <w:rPr>
          <w:rFonts w:asciiTheme="minorHAnsi" w:hAnsiTheme="minorHAnsi" w:cstheme="minorHAnsi"/>
          <w:color w:val="53565A" w:themeColor="accent2"/>
          <w:sz w:val="18"/>
          <w:szCs w:val="18"/>
        </w:rPr>
        <w:t>Rylah</w:t>
      </w:r>
      <w:proofErr w:type="spellEnd"/>
      <w:r w:rsidRPr="00DD31C1">
        <w:rPr>
          <w:rFonts w:asciiTheme="minorHAnsi" w:hAnsiTheme="minorHAnsi" w:cstheme="minorHAnsi"/>
          <w:color w:val="53565A" w:themeColor="accent2"/>
          <w:sz w:val="18"/>
          <w:szCs w:val="18"/>
        </w:rPr>
        <w:t xml:space="preserve"> Institute for Environmental Research Technical Report Series No. 284, December. </w:t>
      </w:r>
      <w:hyperlink r:id="rId2" w:history="1">
        <w:r w:rsidRPr="00DD31C1">
          <w:rPr>
            <w:rStyle w:val="Hyperlink"/>
            <w:rFonts w:asciiTheme="minorHAnsi" w:hAnsiTheme="minorHAnsi" w:cstheme="minorHAnsi"/>
            <w:color w:val="53565A" w:themeColor="accent2"/>
            <w:sz w:val="18"/>
            <w:szCs w:val="18"/>
          </w:rPr>
          <w:t>https://www.gma.vic.gov.au/research/duck-research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F039" w14:textId="010D5C27" w:rsidR="00572AA1" w:rsidRDefault="0057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769F" w14:textId="7894EF06" w:rsidR="00B71016" w:rsidRPr="00644924" w:rsidRDefault="00607F8D" w:rsidP="00644924">
    <w:r>
      <w:rPr>
        <w:noProof/>
      </w:rPr>
      <w:drawing>
        <wp:anchor distT="0" distB="0" distL="114300" distR="114300" simplePos="0" relativeHeight="251672576" behindDoc="1" locked="0" layoutInCell="1" allowOverlap="1" wp14:anchorId="2DB51F5A" wp14:editId="18808C93">
          <wp:simplePos x="0" y="0"/>
          <wp:positionH relativeFrom="page">
            <wp:align>left</wp:align>
          </wp:positionH>
          <wp:positionV relativeFrom="page">
            <wp:align>top</wp:align>
          </wp:positionV>
          <wp:extent cx="10684798" cy="7559400"/>
          <wp:effectExtent l="0" t="0" r="0" b="0"/>
          <wp:wrapNone/>
          <wp:docPr id="128" name="Picture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10684798" cy="755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5D36A" w14:textId="606E4301" w:rsidR="0060555E" w:rsidRDefault="003E73DE" w:rsidP="0060555E">
    <w:r>
      <w:rPr>
        <w:noProof/>
      </w:rPr>
      <w:drawing>
        <wp:anchor distT="0" distB="0" distL="114300" distR="114300" simplePos="0" relativeHeight="251680768" behindDoc="1" locked="1" layoutInCell="1" allowOverlap="1" wp14:anchorId="05FC1034" wp14:editId="32063BB6">
          <wp:simplePos x="0" y="0"/>
          <wp:positionH relativeFrom="page">
            <wp:align>left</wp:align>
          </wp:positionH>
          <wp:positionV relativeFrom="page">
            <wp:align>top</wp:align>
          </wp:positionV>
          <wp:extent cx="7560000" cy="10684800"/>
          <wp:effectExtent l="0" t="0" r="3175" b="2540"/>
          <wp:wrapNone/>
          <wp:docPr id="130" name="Pictur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PR Corporate A4 Reports V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4C82E" w14:textId="7119489C" w:rsidR="00A322E3" w:rsidRDefault="00A322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F7B42" w14:textId="72037E75" w:rsidR="00F821D9" w:rsidRDefault="00F821D9" w:rsidP="00F821D9">
    <w:pPr>
      <w:rPr>
        <w:color w:val="auto"/>
        <w:sz w:val="20"/>
      </w:rPr>
    </w:pPr>
    <w:r>
      <w:rPr>
        <w:noProof/>
        <w:color w:val="auto"/>
        <w:sz w:val="20"/>
      </w:rPr>
      <w:drawing>
        <wp:anchor distT="0" distB="0" distL="114300" distR="114300" simplePos="0" relativeHeight="251683840" behindDoc="1" locked="1" layoutInCell="1" allowOverlap="1" wp14:anchorId="342D7E06" wp14:editId="50487BE7">
          <wp:simplePos x="0" y="0"/>
          <wp:positionH relativeFrom="page">
            <wp:align>center</wp:align>
          </wp:positionH>
          <wp:positionV relativeFrom="page">
            <wp:posOffset>180340</wp:posOffset>
          </wp:positionV>
          <wp:extent cx="7203600" cy="324000"/>
          <wp:effectExtent l="0" t="0" r="0" b="0"/>
          <wp:wrapNone/>
          <wp:docPr id="133" name="Picture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584194" w14:textId="77777777" w:rsidR="00F821D9" w:rsidRDefault="00F821D9" w:rsidP="00F82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29F0F" w14:textId="04A2B57E" w:rsidR="00606B6E" w:rsidRDefault="00FE5BB6" w:rsidP="00687E64">
    <w:pPr>
      <w:rPr>
        <w:color w:val="auto"/>
        <w:sz w:val="20"/>
      </w:rPr>
    </w:pPr>
    <w:r>
      <w:rPr>
        <w:noProof/>
        <w:color w:val="auto"/>
        <w:sz w:val="20"/>
      </w:rPr>
      <w:drawing>
        <wp:anchor distT="0" distB="0" distL="114300" distR="114300" simplePos="0" relativeHeight="251681792" behindDoc="1" locked="1" layoutInCell="1" allowOverlap="1" wp14:anchorId="07C630F3" wp14:editId="5950A08F">
          <wp:simplePos x="0" y="0"/>
          <wp:positionH relativeFrom="page">
            <wp:align>center</wp:align>
          </wp:positionH>
          <wp:positionV relativeFrom="page">
            <wp:posOffset>180340</wp:posOffset>
          </wp:positionV>
          <wp:extent cx="7203600" cy="324000"/>
          <wp:effectExtent l="0" t="0" r="0" b="0"/>
          <wp:wrapNone/>
          <wp:docPr id="131" name="Picture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2CDEAF" w14:textId="77777777" w:rsidR="00606B6E" w:rsidRDefault="00606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643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265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BE3E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A7A65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302B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8494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965D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B289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98DE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9A8E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16FA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D136D"/>
    <w:multiLevelType w:val="hybridMultilevel"/>
    <w:tmpl w:val="EEA496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3A2E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40253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3B65BB"/>
    <w:multiLevelType w:val="hybridMultilevel"/>
    <w:tmpl w:val="545A9BA2"/>
    <w:lvl w:ilvl="0" w:tplc="59ACA0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8" w15:restartNumberingAfterBreak="0">
    <w:nsid w:val="41121A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B850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6E77FB"/>
    <w:multiLevelType w:val="hybridMultilevel"/>
    <w:tmpl w:val="6916C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9274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23"/>
  </w:num>
  <w:num w:numId="4">
    <w:abstractNumId w:val="23"/>
  </w:num>
  <w:num w:numId="5">
    <w:abstractNumId w:val="23"/>
  </w:num>
  <w:num w:numId="6">
    <w:abstractNumId w:val="19"/>
  </w:num>
  <w:num w:numId="7">
    <w:abstractNumId w:val="26"/>
  </w:num>
  <w:num w:numId="8">
    <w:abstractNumId w:val="24"/>
  </w:num>
  <w:num w:numId="9">
    <w:abstractNumId w:val="13"/>
  </w:num>
  <w:num w:numId="10">
    <w:abstractNumId w:val="11"/>
  </w:num>
  <w:num w:numId="11">
    <w:abstractNumId w:val="12"/>
  </w:num>
  <w:num w:numId="12">
    <w:abstractNumId w:val="18"/>
  </w:num>
  <w:num w:numId="13">
    <w:abstractNumId w:val="16"/>
  </w:num>
  <w:num w:numId="14">
    <w:abstractNumId w:val="17"/>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14"/>
  </w:num>
  <w:num w:numId="27">
    <w:abstractNumId w:val="15"/>
  </w:num>
  <w:num w:numId="28">
    <w:abstractNumId w:val="20"/>
  </w:num>
  <w:num w:numId="29">
    <w:abstractNumId w:val="25"/>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A1"/>
    <w:rsid w:val="0000762E"/>
    <w:rsid w:val="00034053"/>
    <w:rsid w:val="0004322F"/>
    <w:rsid w:val="00043BBD"/>
    <w:rsid w:val="00044DC5"/>
    <w:rsid w:val="00060302"/>
    <w:rsid w:val="000636CE"/>
    <w:rsid w:val="000664EC"/>
    <w:rsid w:val="00070516"/>
    <w:rsid w:val="000809CD"/>
    <w:rsid w:val="00083F3A"/>
    <w:rsid w:val="000B2BD7"/>
    <w:rsid w:val="000B5CE2"/>
    <w:rsid w:val="000B7105"/>
    <w:rsid w:val="000E39A7"/>
    <w:rsid w:val="000F0296"/>
    <w:rsid w:val="000F7643"/>
    <w:rsid w:val="00106B24"/>
    <w:rsid w:val="001266CB"/>
    <w:rsid w:val="00133F06"/>
    <w:rsid w:val="00135B6F"/>
    <w:rsid w:val="001410ED"/>
    <w:rsid w:val="001417FE"/>
    <w:rsid w:val="001441F4"/>
    <w:rsid w:val="00152EB9"/>
    <w:rsid w:val="001575E7"/>
    <w:rsid w:val="00162799"/>
    <w:rsid w:val="00162CEF"/>
    <w:rsid w:val="00164024"/>
    <w:rsid w:val="00164461"/>
    <w:rsid w:val="00164987"/>
    <w:rsid w:val="00166869"/>
    <w:rsid w:val="00167CD4"/>
    <w:rsid w:val="001774D2"/>
    <w:rsid w:val="00181199"/>
    <w:rsid w:val="001858C2"/>
    <w:rsid w:val="00186B61"/>
    <w:rsid w:val="00187CBA"/>
    <w:rsid w:val="00190A16"/>
    <w:rsid w:val="001A653B"/>
    <w:rsid w:val="001F0A49"/>
    <w:rsid w:val="001F3D55"/>
    <w:rsid w:val="001F76F6"/>
    <w:rsid w:val="001F7FE5"/>
    <w:rsid w:val="0021262D"/>
    <w:rsid w:val="00213285"/>
    <w:rsid w:val="00214165"/>
    <w:rsid w:val="0022061D"/>
    <w:rsid w:val="00240644"/>
    <w:rsid w:val="00247333"/>
    <w:rsid w:val="00252878"/>
    <w:rsid w:val="002541E8"/>
    <w:rsid w:val="00270CB2"/>
    <w:rsid w:val="002758EA"/>
    <w:rsid w:val="00275C41"/>
    <w:rsid w:val="00277A1E"/>
    <w:rsid w:val="002848F0"/>
    <w:rsid w:val="00292254"/>
    <w:rsid w:val="00294079"/>
    <w:rsid w:val="00294DCD"/>
    <w:rsid w:val="002A56CF"/>
    <w:rsid w:val="002A72B2"/>
    <w:rsid w:val="002B0A79"/>
    <w:rsid w:val="002B38ED"/>
    <w:rsid w:val="002B5841"/>
    <w:rsid w:val="002C2F1F"/>
    <w:rsid w:val="002D1F76"/>
    <w:rsid w:val="002E04F8"/>
    <w:rsid w:val="002E3C2C"/>
    <w:rsid w:val="002F68AA"/>
    <w:rsid w:val="00300D80"/>
    <w:rsid w:val="00311E13"/>
    <w:rsid w:val="003219ED"/>
    <w:rsid w:val="00322AE7"/>
    <w:rsid w:val="0033610C"/>
    <w:rsid w:val="0034620F"/>
    <w:rsid w:val="00353D57"/>
    <w:rsid w:val="003603BD"/>
    <w:rsid w:val="003628E3"/>
    <w:rsid w:val="00372BD6"/>
    <w:rsid w:val="00375F08"/>
    <w:rsid w:val="0038297E"/>
    <w:rsid w:val="00391A43"/>
    <w:rsid w:val="003B0708"/>
    <w:rsid w:val="003B093E"/>
    <w:rsid w:val="003B31C0"/>
    <w:rsid w:val="003B37BD"/>
    <w:rsid w:val="003B4F2D"/>
    <w:rsid w:val="003C115D"/>
    <w:rsid w:val="003D44AD"/>
    <w:rsid w:val="003E55B0"/>
    <w:rsid w:val="003E690A"/>
    <w:rsid w:val="003E73DE"/>
    <w:rsid w:val="003E746F"/>
    <w:rsid w:val="00412227"/>
    <w:rsid w:val="00421E8D"/>
    <w:rsid w:val="00422F1C"/>
    <w:rsid w:val="00431CED"/>
    <w:rsid w:val="00435FCF"/>
    <w:rsid w:val="004368D2"/>
    <w:rsid w:val="004371F6"/>
    <w:rsid w:val="00440DF0"/>
    <w:rsid w:val="004464C4"/>
    <w:rsid w:val="004477B6"/>
    <w:rsid w:val="00456170"/>
    <w:rsid w:val="004602BE"/>
    <w:rsid w:val="004621A0"/>
    <w:rsid w:val="0047003A"/>
    <w:rsid w:val="00474D13"/>
    <w:rsid w:val="004837F1"/>
    <w:rsid w:val="004A147F"/>
    <w:rsid w:val="004B3C74"/>
    <w:rsid w:val="004B3FC2"/>
    <w:rsid w:val="004C5942"/>
    <w:rsid w:val="004D653B"/>
    <w:rsid w:val="004E4C95"/>
    <w:rsid w:val="004F10C7"/>
    <w:rsid w:val="004F1E91"/>
    <w:rsid w:val="004F6575"/>
    <w:rsid w:val="005001F0"/>
    <w:rsid w:val="00506A93"/>
    <w:rsid w:val="005104E6"/>
    <w:rsid w:val="005163FE"/>
    <w:rsid w:val="005257C6"/>
    <w:rsid w:val="005276EB"/>
    <w:rsid w:val="00535D6A"/>
    <w:rsid w:val="00537F3D"/>
    <w:rsid w:val="005656A1"/>
    <w:rsid w:val="005723C8"/>
    <w:rsid w:val="00572AA1"/>
    <w:rsid w:val="00585115"/>
    <w:rsid w:val="00591895"/>
    <w:rsid w:val="005A12E9"/>
    <w:rsid w:val="005A6D9F"/>
    <w:rsid w:val="005B0813"/>
    <w:rsid w:val="005D4B13"/>
    <w:rsid w:val="005E284D"/>
    <w:rsid w:val="005F655D"/>
    <w:rsid w:val="005F66C6"/>
    <w:rsid w:val="005F6CE7"/>
    <w:rsid w:val="00604D7C"/>
    <w:rsid w:val="0060555E"/>
    <w:rsid w:val="00606B6E"/>
    <w:rsid w:val="00607F8D"/>
    <w:rsid w:val="006202B7"/>
    <w:rsid w:val="00625114"/>
    <w:rsid w:val="00644924"/>
    <w:rsid w:val="0064636E"/>
    <w:rsid w:val="006664B6"/>
    <w:rsid w:val="00675020"/>
    <w:rsid w:val="00677E57"/>
    <w:rsid w:val="00687148"/>
    <w:rsid w:val="00687E64"/>
    <w:rsid w:val="006905F9"/>
    <w:rsid w:val="00696044"/>
    <w:rsid w:val="00696640"/>
    <w:rsid w:val="006A2FFA"/>
    <w:rsid w:val="006A4825"/>
    <w:rsid w:val="006A6607"/>
    <w:rsid w:val="006B778A"/>
    <w:rsid w:val="006C0F74"/>
    <w:rsid w:val="006C7DEC"/>
    <w:rsid w:val="006E6885"/>
    <w:rsid w:val="006E701A"/>
    <w:rsid w:val="006F01F2"/>
    <w:rsid w:val="006F0E7E"/>
    <w:rsid w:val="006F0ECE"/>
    <w:rsid w:val="006F1AA2"/>
    <w:rsid w:val="006F6135"/>
    <w:rsid w:val="006F6E52"/>
    <w:rsid w:val="00700B64"/>
    <w:rsid w:val="00704AF9"/>
    <w:rsid w:val="00707F05"/>
    <w:rsid w:val="00710763"/>
    <w:rsid w:val="00720471"/>
    <w:rsid w:val="00720991"/>
    <w:rsid w:val="0072425B"/>
    <w:rsid w:val="00724531"/>
    <w:rsid w:val="00730369"/>
    <w:rsid w:val="00734911"/>
    <w:rsid w:val="00740629"/>
    <w:rsid w:val="007431E7"/>
    <w:rsid w:val="007444DD"/>
    <w:rsid w:val="00747C75"/>
    <w:rsid w:val="007646AA"/>
    <w:rsid w:val="00770803"/>
    <w:rsid w:val="00771777"/>
    <w:rsid w:val="00782C92"/>
    <w:rsid w:val="007B4719"/>
    <w:rsid w:val="007C1287"/>
    <w:rsid w:val="007D40B8"/>
    <w:rsid w:val="007E01B3"/>
    <w:rsid w:val="008027EC"/>
    <w:rsid w:val="00805E7C"/>
    <w:rsid w:val="00814984"/>
    <w:rsid w:val="008151D9"/>
    <w:rsid w:val="00821D06"/>
    <w:rsid w:val="00830467"/>
    <w:rsid w:val="00854053"/>
    <w:rsid w:val="00855D60"/>
    <w:rsid w:val="008571B4"/>
    <w:rsid w:val="00864B2F"/>
    <w:rsid w:val="0086526A"/>
    <w:rsid w:val="0087121B"/>
    <w:rsid w:val="008730BD"/>
    <w:rsid w:val="00892F06"/>
    <w:rsid w:val="008D72D6"/>
    <w:rsid w:val="008E34C0"/>
    <w:rsid w:val="008E45EE"/>
    <w:rsid w:val="008E4A82"/>
    <w:rsid w:val="008E4ECD"/>
    <w:rsid w:val="008F6252"/>
    <w:rsid w:val="00907F21"/>
    <w:rsid w:val="00913117"/>
    <w:rsid w:val="00914E64"/>
    <w:rsid w:val="00921A00"/>
    <w:rsid w:val="0093205D"/>
    <w:rsid w:val="009324C3"/>
    <w:rsid w:val="00942086"/>
    <w:rsid w:val="00961C45"/>
    <w:rsid w:val="00961E35"/>
    <w:rsid w:val="00965A99"/>
    <w:rsid w:val="00965E6E"/>
    <w:rsid w:val="00966244"/>
    <w:rsid w:val="00974135"/>
    <w:rsid w:val="009749A5"/>
    <w:rsid w:val="00975F0E"/>
    <w:rsid w:val="00983FCB"/>
    <w:rsid w:val="009960AA"/>
    <w:rsid w:val="009B079D"/>
    <w:rsid w:val="009C2EAA"/>
    <w:rsid w:val="009D44FC"/>
    <w:rsid w:val="009E0B3D"/>
    <w:rsid w:val="009E2D7A"/>
    <w:rsid w:val="009E692C"/>
    <w:rsid w:val="00A013D3"/>
    <w:rsid w:val="00A0687D"/>
    <w:rsid w:val="00A07DF2"/>
    <w:rsid w:val="00A11752"/>
    <w:rsid w:val="00A1590C"/>
    <w:rsid w:val="00A17119"/>
    <w:rsid w:val="00A22F97"/>
    <w:rsid w:val="00A322E3"/>
    <w:rsid w:val="00A34096"/>
    <w:rsid w:val="00A40738"/>
    <w:rsid w:val="00A41A0F"/>
    <w:rsid w:val="00A465E3"/>
    <w:rsid w:val="00A52815"/>
    <w:rsid w:val="00A529EA"/>
    <w:rsid w:val="00A6196F"/>
    <w:rsid w:val="00A94CD5"/>
    <w:rsid w:val="00A96CF9"/>
    <w:rsid w:val="00AA44D7"/>
    <w:rsid w:val="00AB1D65"/>
    <w:rsid w:val="00AB2E25"/>
    <w:rsid w:val="00AD211E"/>
    <w:rsid w:val="00AD7309"/>
    <w:rsid w:val="00AE6758"/>
    <w:rsid w:val="00AF152C"/>
    <w:rsid w:val="00B14DDB"/>
    <w:rsid w:val="00B33D08"/>
    <w:rsid w:val="00B349EC"/>
    <w:rsid w:val="00B5046E"/>
    <w:rsid w:val="00B62A2A"/>
    <w:rsid w:val="00B63B43"/>
    <w:rsid w:val="00B71016"/>
    <w:rsid w:val="00B83FEC"/>
    <w:rsid w:val="00B863CD"/>
    <w:rsid w:val="00B938A7"/>
    <w:rsid w:val="00B93FD6"/>
    <w:rsid w:val="00B97001"/>
    <w:rsid w:val="00B973EE"/>
    <w:rsid w:val="00BA390F"/>
    <w:rsid w:val="00BA70A6"/>
    <w:rsid w:val="00BC4ABE"/>
    <w:rsid w:val="00BC4B89"/>
    <w:rsid w:val="00BE131F"/>
    <w:rsid w:val="00BF2BA6"/>
    <w:rsid w:val="00BF533D"/>
    <w:rsid w:val="00C003C2"/>
    <w:rsid w:val="00C122E4"/>
    <w:rsid w:val="00C61F44"/>
    <w:rsid w:val="00C63BDC"/>
    <w:rsid w:val="00C73282"/>
    <w:rsid w:val="00C80E10"/>
    <w:rsid w:val="00C829C6"/>
    <w:rsid w:val="00C83E7A"/>
    <w:rsid w:val="00CA59D5"/>
    <w:rsid w:val="00CB4A0F"/>
    <w:rsid w:val="00CB73CA"/>
    <w:rsid w:val="00CC72D9"/>
    <w:rsid w:val="00CD7E6A"/>
    <w:rsid w:val="00CE520B"/>
    <w:rsid w:val="00CF3770"/>
    <w:rsid w:val="00CF6EB4"/>
    <w:rsid w:val="00D120F8"/>
    <w:rsid w:val="00D308D4"/>
    <w:rsid w:val="00D651F4"/>
    <w:rsid w:val="00D729FA"/>
    <w:rsid w:val="00D76844"/>
    <w:rsid w:val="00D8542D"/>
    <w:rsid w:val="00D96C1E"/>
    <w:rsid w:val="00DA0941"/>
    <w:rsid w:val="00DA6EFC"/>
    <w:rsid w:val="00DB0DED"/>
    <w:rsid w:val="00DB1E27"/>
    <w:rsid w:val="00DB26D5"/>
    <w:rsid w:val="00DC4912"/>
    <w:rsid w:val="00DD6894"/>
    <w:rsid w:val="00DE5D59"/>
    <w:rsid w:val="00DE623C"/>
    <w:rsid w:val="00DF6190"/>
    <w:rsid w:val="00DF7534"/>
    <w:rsid w:val="00E017A7"/>
    <w:rsid w:val="00E02831"/>
    <w:rsid w:val="00E06D21"/>
    <w:rsid w:val="00E10C62"/>
    <w:rsid w:val="00E2142B"/>
    <w:rsid w:val="00E22A18"/>
    <w:rsid w:val="00E25444"/>
    <w:rsid w:val="00E31E09"/>
    <w:rsid w:val="00E354A3"/>
    <w:rsid w:val="00E42772"/>
    <w:rsid w:val="00E45D83"/>
    <w:rsid w:val="00E5567F"/>
    <w:rsid w:val="00E57C8F"/>
    <w:rsid w:val="00E72A0D"/>
    <w:rsid w:val="00E806E9"/>
    <w:rsid w:val="00E85CDC"/>
    <w:rsid w:val="00EB1F33"/>
    <w:rsid w:val="00EB2544"/>
    <w:rsid w:val="00EB5CE6"/>
    <w:rsid w:val="00ED5C66"/>
    <w:rsid w:val="00ED7FC5"/>
    <w:rsid w:val="00EE00A0"/>
    <w:rsid w:val="00EE1BC7"/>
    <w:rsid w:val="00F06025"/>
    <w:rsid w:val="00F4526C"/>
    <w:rsid w:val="00F45D9E"/>
    <w:rsid w:val="00F67529"/>
    <w:rsid w:val="00F732CD"/>
    <w:rsid w:val="00F821D9"/>
    <w:rsid w:val="00F824C0"/>
    <w:rsid w:val="00F82CEB"/>
    <w:rsid w:val="00F9423E"/>
    <w:rsid w:val="00F973F3"/>
    <w:rsid w:val="00FA2EDF"/>
    <w:rsid w:val="00FB0DEA"/>
    <w:rsid w:val="00FB11D1"/>
    <w:rsid w:val="00FB5F7E"/>
    <w:rsid w:val="00FE0570"/>
    <w:rsid w:val="00FE13BF"/>
    <w:rsid w:val="00FE5BB6"/>
    <w:rsid w:val="00FF03FE"/>
    <w:rsid w:val="00FF2D2B"/>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D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772"/>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rsid w:val="001575E7"/>
    <w:pPr>
      <w:keepNext/>
      <w:keepLines/>
      <w:pageBreakBefore/>
      <w:numPr>
        <w:numId w:val="8"/>
      </w:numPr>
      <w:spacing w:before="520" w:after="480"/>
      <w:ind w:left="431" w:hanging="431"/>
      <w:outlineLvl w:val="0"/>
    </w:pPr>
    <w:rPr>
      <w:b/>
      <w:bCs/>
      <w:color w:val="100249" w:themeColor="accent4"/>
      <w:sz w:val="36"/>
      <w:szCs w:val="32"/>
    </w:rPr>
  </w:style>
  <w:style w:type="paragraph" w:styleId="Heading2">
    <w:name w:val="heading 2"/>
    <w:basedOn w:val="Normal"/>
    <w:next w:val="Normal"/>
    <w:link w:val="Heading2Char"/>
    <w:uiPriority w:val="9"/>
    <w:qFormat/>
    <w:rsid w:val="00E42772"/>
    <w:pPr>
      <w:keepNext/>
      <w:keepLines/>
      <w:numPr>
        <w:ilvl w:val="1"/>
        <w:numId w:val="8"/>
      </w:numPr>
      <w:spacing w:before="400"/>
      <w:outlineLvl w:val="1"/>
    </w:pPr>
    <w:rPr>
      <w:bCs/>
      <w:color w:val="62BB46" w:themeColor="accent3"/>
      <w:sz w:val="28"/>
      <w:szCs w:val="26"/>
    </w:rPr>
  </w:style>
  <w:style w:type="paragraph" w:styleId="Heading3">
    <w:name w:val="heading 3"/>
    <w:basedOn w:val="Normal"/>
    <w:next w:val="Normal"/>
    <w:link w:val="Heading3Char"/>
    <w:uiPriority w:val="9"/>
    <w:qFormat/>
    <w:rsid w:val="00164024"/>
    <w:pPr>
      <w:keepNext/>
      <w:keepLines/>
      <w:numPr>
        <w:ilvl w:val="2"/>
        <w:numId w:val="8"/>
      </w:numPr>
      <w:spacing w:before="320" w:after="160"/>
      <w:outlineLvl w:val="2"/>
    </w:pPr>
    <w:rPr>
      <w:b/>
      <w:bCs/>
      <w:color w:val="100249" w:themeColor="accent4"/>
      <w:sz w:val="22"/>
    </w:rPr>
  </w:style>
  <w:style w:type="paragraph" w:styleId="Heading4">
    <w:name w:val="heading 4"/>
    <w:basedOn w:val="Normal"/>
    <w:next w:val="Normal"/>
    <w:link w:val="Heading4Char"/>
    <w:uiPriority w:val="9"/>
    <w:unhideWhenUsed/>
    <w:rsid w:val="00164024"/>
    <w:pPr>
      <w:keepNext/>
      <w:keepLines/>
      <w:numPr>
        <w:ilvl w:val="3"/>
        <w:numId w:val="8"/>
      </w:numPr>
      <w:spacing w:before="280" w:after="0"/>
      <w:ind w:left="862" w:hanging="862"/>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8"/>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DB0DED"/>
    <w:pPr>
      <w:keepNext/>
      <w:keepLines/>
      <w:numPr>
        <w:ilvl w:val="5"/>
        <w:numId w:val="8"/>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DB0DE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8"/>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8"/>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5E7"/>
    <w:rPr>
      <w:rFonts w:ascii="Arial" w:eastAsia="Times New Roman" w:hAnsi="Arial" w:cs="Times New Roman"/>
      <w:b/>
      <w:bCs/>
      <w:color w:val="100249" w:themeColor="accent4"/>
      <w:sz w:val="36"/>
      <w:szCs w:val="32"/>
    </w:rPr>
  </w:style>
  <w:style w:type="character" w:customStyle="1" w:styleId="Heading2Char">
    <w:name w:val="Heading 2 Char"/>
    <w:basedOn w:val="DefaultParagraphFont"/>
    <w:link w:val="Heading2"/>
    <w:uiPriority w:val="9"/>
    <w:rsid w:val="00E42772"/>
    <w:rPr>
      <w:rFonts w:ascii="Arial" w:eastAsia="Times New Roman" w:hAnsi="Arial" w:cs="Times New Roman"/>
      <w:bCs/>
      <w:color w:val="62BB46" w:themeColor="accent3"/>
      <w:sz w:val="28"/>
      <w:szCs w:val="26"/>
    </w:rPr>
  </w:style>
  <w:style w:type="character" w:customStyle="1" w:styleId="Heading3Char">
    <w:name w:val="Heading 3 Char"/>
    <w:basedOn w:val="DefaultParagraphFont"/>
    <w:link w:val="Heading3"/>
    <w:uiPriority w:val="9"/>
    <w:rsid w:val="00164024"/>
    <w:rPr>
      <w:rFonts w:ascii="Arial" w:eastAsia="Times New Roman" w:hAnsi="Arial" w:cs="Times New Roman"/>
      <w:b/>
      <w:bCs/>
      <w:color w:val="100249" w:themeColor="accent4"/>
      <w:szCs w:val="20"/>
    </w:rPr>
  </w:style>
  <w:style w:type="character" w:styleId="FollowedHyperlink">
    <w:name w:val="FollowedHyperlink"/>
    <w:basedOn w:val="DefaultParagraphFont"/>
    <w:semiHidden/>
    <w:unhideWhenUsed/>
    <w:locked/>
    <w:rsid w:val="004F10C7"/>
    <w:rPr>
      <w:color w:val="78BE20"/>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F0A23"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F821D9"/>
    <w:pPr>
      <w:tabs>
        <w:tab w:val="left" w:pos="600"/>
        <w:tab w:val="right" w:pos="9071"/>
        <w:tab w:val="left" w:leader="dot" w:pos="14175"/>
      </w:tabs>
      <w:spacing w:before="240" w:after="100"/>
    </w:pPr>
  </w:style>
  <w:style w:type="paragraph" w:styleId="TOC2">
    <w:name w:val="toc 2"/>
    <w:basedOn w:val="Normal"/>
    <w:next w:val="Normal"/>
    <w:autoRedefine/>
    <w:uiPriority w:val="39"/>
    <w:unhideWhenUsed/>
    <w:rsid w:val="00F821D9"/>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F821D9"/>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687E64"/>
    <w:pPr>
      <w:spacing w:before="0" w:line="420" w:lineRule="exact"/>
    </w:pPr>
    <w:rPr>
      <w:noProof/>
      <w:color w:val="FFFFFF"/>
      <w:sz w:val="44"/>
      <w:lang w:val="en-GB" w:eastAsia="en-GB"/>
    </w:rPr>
  </w:style>
  <w:style w:type="character" w:customStyle="1" w:styleId="TitleChar">
    <w:name w:val="Title Char"/>
    <w:basedOn w:val="DefaultParagraphFont"/>
    <w:link w:val="Title"/>
    <w:uiPriority w:val="10"/>
    <w:rsid w:val="00687E64"/>
    <w:rPr>
      <w:rFonts w:ascii="Arial" w:eastAsia="Times New Roman" w:hAnsi="Arial" w:cs="Times New Roman"/>
      <w:noProof/>
      <w:color w:val="FFFFFF"/>
      <w:sz w:val="44"/>
      <w:szCs w:val="20"/>
      <w:lang w:val="en-GB" w:eastAsia="en-GB"/>
    </w:rPr>
  </w:style>
  <w:style w:type="paragraph" w:styleId="Subtitle">
    <w:name w:val="Subtitle"/>
    <w:basedOn w:val="Normal"/>
    <w:link w:val="SubtitleChar"/>
    <w:uiPriority w:val="11"/>
    <w:qFormat/>
    <w:rsid w:val="003B093E"/>
    <w:pPr>
      <w:spacing w:before="180"/>
    </w:pPr>
    <w:rPr>
      <w:caps/>
      <w:color w:val="FFFFFF"/>
      <w:sz w:val="32"/>
    </w:rPr>
  </w:style>
  <w:style w:type="character" w:customStyle="1" w:styleId="SubtitleChar">
    <w:name w:val="Subtitle Char"/>
    <w:basedOn w:val="DefaultParagraphFont"/>
    <w:link w:val="Subtitle"/>
    <w:uiPriority w:val="11"/>
    <w:rsid w:val="003B093E"/>
    <w:rPr>
      <w:rFonts w:ascii="Arial" w:eastAsia="Times New Roman" w:hAnsi="Arial" w:cs="Times New Roman"/>
      <w:caps/>
      <w:color w:val="FFFFFF"/>
      <w:sz w:val="32"/>
      <w:szCs w:val="20"/>
    </w:rPr>
  </w:style>
  <w:style w:type="paragraph" w:styleId="ListBullet">
    <w:name w:val="List Bullet"/>
    <w:basedOn w:val="Normal"/>
    <w:uiPriority w:val="99"/>
    <w:unhideWhenUsed/>
    <w:locked/>
    <w:rsid w:val="001575E7"/>
    <w:pPr>
      <w:numPr>
        <w:numId w:val="5"/>
      </w:numPr>
      <w:spacing w:before="0" w:after="120"/>
      <w:ind w:left="357" w:hanging="357"/>
    </w:pPr>
  </w:style>
  <w:style w:type="paragraph" w:styleId="ListBullet2">
    <w:name w:val="List Bullet 2"/>
    <w:basedOn w:val="Normal"/>
    <w:uiPriority w:val="99"/>
    <w:unhideWhenUsed/>
    <w:rsid w:val="001575E7"/>
    <w:pPr>
      <w:numPr>
        <w:numId w:val="14"/>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paragraph" w:styleId="ListParagraph">
    <w:name w:val="List Paragraph"/>
    <w:basedOn w:val="Normal"/>
    <w:uiPriority w:val="34"/>
    <w:qFormat/>
    <w:locked/>
    <w:rsid w:val="0033610C"/>
    <w:pPr>
      <w:spacing w:before="0" w:after="0"/>
      <w:ind w:left="720"/>
      <w:contextualSpacing/>
    </w:pPr>
    <w:rPr>
      <w:rFonts w:ascii="Times New Roman" w:hAnsi="Times New Roman"/>
      <w:color w:val="auto"/>
      <w:sz w:val="24"/>
      <w:szCs w:val="24"/>
      <w:lang w:eastAsia="en-AU"/>
    </w:rPr>
  </w:style>
  <w:style w:type="paragraph" w:styleId="FootnoteText">
    <w:name w:val="footnote text"/>
    <w:basedOn w:val="Normal"/>
    <w:link w:val="FootnoteTextChar"/>
    <w:uiPriority w:val="99"/>
    <w:semiHidden/>
    <w:unhideWhenUsed/>
    <w:locked/>
    <w:rsid w:val="0033610C"/>
    <w:pPr>
      <w:spacing w:before="0" w:after="0"/>
    </w:pPr>
    <w:rPr>
      <w:rFonts w:ascii="Times New Roman" w:hAnsi="Times New Roman"/>
      <w:color w:val="auto"/>
      <w:sz w:val="20"/>
      <w:lang w:eastAsia="en-AU"/>
    </w:rPr>
  </w:style>
  <w:style w:type="character" w:customStyle="1" w:styleId="FootnoteTextChar">
    <w:name w:val="Footnote Text Char"/>
    <w:basedOn w:val="DefaultParagraphFont"/>
    <w:link w:val="FootnoteText"/>
    <w:uiPriority w:val="99"/>
    <w:semiHidden/>
    <w:rsid w:val="0033610C"/>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locked/>
    <w:rsid w:val="003361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djpr.vic.gov.au/"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djpr.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gma.vic.gov.au/research/duck-research" TargetMode="External"/><Relationship Id="rId1" Type="http://schemas.openxmlformats.org/officeDocument/2006/relationships/hyperlink" Target="https://djpr.vic.gov.au/game-hunt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be4h\Downloads\Report-A4-Portrai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5431A176D34C4C808DFE3981C11D77"/>
        <w:category>
          <w:name w:val="General"/>
          <w:gallery w:val="placeholder"/>
        </w:category>
        <w:types>
          <w:type w:val="bbPlcHdr"/>
        </w:types>
        <w:behaviors>
          <w:behavior w:val="content"/>
        </w:behaviors>
        <w:guid w:val="{CECC144B-DE5B-4CD6-B20F-612557243F5B}"/>
      </w:docPartPr>
      <w:docPartBody>
        <w:p w:rsidR="00D948A4" w:rsidRDefault="00D948A4">
          <w:pPr>
            <w:pStyle w:val="045431A176D34C4C808DFE3981C11D77"/>
          </w:pPr>
          <w:r w:rsidRPr="00DF7534">
            <w:rPr>
              <w:rStyle w:val="TitleChar"/>
              <w:rFonts w:eastAsiaTheme="minorEastAsia"/>
              <w:color w:val="FFFFFF" w:themeColor="background1"/>
              <w:lang w:eastAsia="en-US"/>
            </w:rPr>
            <w:t>Place heading here</w:t>
          </w:r>
        </w:p>
      </w:docPartBody>
    </w:docPart>
    <w:docPart>
      <w:docPartPr>
        <w:name w:val="E718F9700374413A9035A406BC03DC3E"/>
        <w:category>
          <w:name w:val="General"/>
          <w:gallery w:val="placeholder"/>
        </w:category>
        <w:types>
          <w:type w:val="bbPlcHdr"/>
        </w:types>
        <w:behaviors>
          <w:behavior w:val="content"/>
        </w:behaviors>
        <w:guid w:val="{93BC501F-7049-4367-867B-D7AC1E7DB18E}"/>
      </w:docPartPr>
      <w:docPartBody>
        <w:p w:rsidR="00D948A4" w:rsidRDefault="00D948A4">
          <w:pPr>
            <w:pStyle w:val="E718F9700374413A9035A406BC03DC3E"/>
          </w:pPr>
          <w:r w:rsidRPr="005E73F8">
            <w:rPr>
              <w:rStyle w:val="PlaceholderText"/>
              <w:rFonts w:eastAsiaTheme="minorHAnsi"/>
            </w:rPr>
            <w:t>Click or tap here to enter text.</w:t>
          </w:r>
        </w:p>
      </w:docPartBody>
    </w:docPart>
    <w:docPart>
      <w:docPartPr>
        <w:name w:val="CFEC2B931E7743B6AC777ED502597F72"/>
        <w:category>
          <w:name w:val="General"/>
          <w:gallery w:val="placeholder"/>
        </w:category>
        <w:types>
          <w:type w:val="bbPlcHdr"/>
        </w:types>
        <w:behaviors>
          <w:behavior w:val="content"/>
        </w:behaviors>
        <w:guid w:val="{2173381E-2FDE-402A-A97E-61BCAD4FBC1E}"/>
      </w:docPartPr>
      <w:docPartBody>
        <w:p w:rsidR="00390D10" w:rsidRDefault="00D948A4" w:rsidP="00D948A4">
          <w:pPr>
            <w:pStyle w:val="CFEC2B931E7743B6AC777ED502597F72"/>
          </w:pPr>
          <w:r w:rsidRPr="00DF7534">
            <w:rPr>
              <w:rStyle w:val="TitleChar"/>
              <w:rFonts w:eastAsiaTheme="minorEastAsia"/>
              <w:color w:val="FFFFFF" w:themeColor="background1"/>
              <w:lang w:eastAsia="en-US"/>
            </w:rPr>
            <w:t>Place heading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A4"/>
    <w:rsid w:val="00390D10"/>
    <w:rsid w:val="00461D23"/>
    <w:rsid w:val="0083295F"/>
    <w:rsid w:val="00D948A4"/>
    <w:rsid w:val="00F347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48A4"/>
    <w:pPr>
      <w:spacing w:after="200" w:line="420" w:lineRule="exact"/>
    </w:pPr>
    <w:rPr>
      <w:rFonts w:ascii="Arial" w:eastAsia="Times New Roman" w:hAnsi="Arial" w:cs="Times New Roman"/>
      <w:noProof/>
      <w:color w:val="FFFFFF"/>
      <w:sz w:val="44"/>
      <w:szCs w:val="20"/>
      <w:lang w:val="en-GB" w:eastAsia="en-GB"/>
    </w:rPr>
  </w:style>
  <w:style w:type="character" w:customStyle="1" w:styleId="TitleChar">
    <w:name w:val="Title Char"/>
    <w:basedOn w:val="DefaultParagraphFont"/>
    <w:link w:val="Title"/>
    <w:uiPriority w:val="10"/>
    <w:rsid w:val="00D948A4"/>
    <w:rPr>
      <w:rFonts w:ascii="Arial" w:eastAsia="Times New Roman" w:hAnsi="Arial" w:cs="Times New Roman"/>
      <w:noProof/>
      <w:color w:val="FFFFFF"/>
      <w:sz w:val="44"/>
      <w:szCs w:val="20"/>
      <w:lang w:val="en-GB" w:eastAsia="en-GB"/>
    </w:rPr>
  </w:style>
  <w:style w:type="paragraph" w:customStyle="1" w:styleId="045431A176D34C4C808DFE3981C11D77">
    <w:name w:val="045431A176D34C4C808DFE3981C11D77"/>
  </w:style>
  <w:style w:type="paragraph" w:customStyle="1" w:styleId="AA88CBCF14124E56A12D9D32F65FA9F9">
    <w:name w:val="AA88CBCF14124E56A12D9D32F65FA9F9"/>
  </w:style>
  <w:style w:type="character" w:styleId="PlaceholderText">
    <w:name w:val="Placeholder Text"/>
    <w:basedOn w:val="DefaultParagraphFont"/>
    <w:uiPriority w:val="99"/>
    <w:semiHidden/>
    <w:rPr>
      <w:color w:val="808080"/>
    </w:rPr>
  </w:style>
  <w:style w:type="paragraph" w:customStyle="1" w:styleId="E718F9700374413A9035A406BC03DC3E">
    <w:name w:val="E718F9700374413A9035A406BC03DC3E"/>
  </w:style>
  <w:style w:type="paragraph" w:customStyle="1" w:styleId="CFEC2B931E7743B6AC777ED502597F72">
    <w:name w:val="CFEC2B931E7743B6AC777ED502597F72"/>
    <w:rsid w:val="00D94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ileNumber xmlns="9df27e40-797b-464d-9cc4-2f4a127c61c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6318262F18B643A8EED0468F527E54" ma:contentTypeVersion="13" ma:contentTypeDescription="Create a new document." ma:contentTypeScope="" ma:versionID="3a8c8bfdcc109a627e66d41f41a2d5fa">
  <xsd:schema xmlns:xsd="http://www.w3.org/2001/XMLSchema" xmlns:xs="http://www.w3.org/2001/XMLSchema" xmlns:p="http://schemas.microsoft.com/office/2006/metadata/properties" xmlns:ns2="9df27e40-797b-464d-9cc4-2f4a127c61c1" xmlns:ns3="d885b6b3-7e0d-487d-aa42-3e32d91b08c9" targetNamespace="http://schemas.microsoft.com/office/2006/metadata/properties" ma:root="true" ma:fieldsID="a3560efd929f7cf7b0b6188a2f49823b" ns2:_="" ns3:_="">
    <xsd:import namespace="9df27e40-797b-464d-9cc4-2f4a127c61c1"/>
    <xsd:import namespace="d885b6b3-7e0d-487d-aa42-3e32d91b08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Fil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7e40-797b-464d-9cc4-2f4a127c6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Number" ma:index="20" nillable="true" ma:displayName="File Number" ma:description="Number of files in folder" ma:format="Dropdown" ma:internalName="Fil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885b6b3-7e0d-487d-aa42-3e32d91b08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CC023-C676-4A0A-B374-7B08CF264E90}">
  <ds:schemaRefs>
    <ds:schemaRef ds:uri="http://schemas.microsoft.com/sharepoint/v3/contenttype/forms"/>
  </ds:schemaRefs>
</ds:datastoreItem>
</file>

<file path=customXml/itemProps2.xml><?xml version="1.0" encoding="utf-8"?>
<ds:datastoreItem xmlns:ds="http://schemas.openxmlformats.org/officeDocument/2006/customXml" ds:itemID="{67474CE7-0909-4F11-8AC1-957F19814423}">
  <ds:schemaRefs>
    <ds:schemaRef ds:uri="http://schemas.openxmlformats.org/officeDocument/2006/bibliography"/>
  </ds:schemaRefs>
</ds:datastoreItem>
</file>

<file path=customXml/itemProps3.xml><?xml version="1.0" encoding="utf-8"?>
<ds:datastoreItem xmlns:ds="http://schemas.openxmlformats.org/officeDocument/2006/customXml" ds:itemID="{9E04D174-F679-4470-AD54-3B5BBD92ADF9}">
  <ds:schemaRefs>
    <ds:schemaRef ds:uri="http://purl.org/dc/elements/1.1/"/>
    <ds:schemaRef ds:uri="http://schemas.microsoft.com/office/2006/metadata/properties"/>
    <ds:schemaRef ds:uri="d885b6b3-7e0d-487d-aa42-3e32d91b08c9"/>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df27e40-797b-464d-9cc4-2f4a127c61c1"/>
    <ds:schemaRef ds:uri="http://www.w3.org/XML/1998/namespace"/>
    <ds:schemaRef ds:uri="http://purl.org/dc/dcmitype/"/>
  </ds:schemaRefs>
</ds:datastoreItem>
</file>

<file path=customXml/itemProps4.xml><?xml version="1.0" encoding="utf-8"?>
<ds:datastoreItem xmlns:ds="http://schemas.openxmlformats.org/officeDocument/2006/customXml" ds:itemID="{E10A0D0E-59AE-4422-B120-2F99867D3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7e40-797b-464d-9cc4-2f4a127c61c1"/>
    <ds:schemaRef ds:uri="d885b6b3-7e0d-487d-aa42-3e32d91b0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Report-A4-Portrait (2).dotx</Template>
  <TotalTime>0</TotalTime>
  <Pages>5</Pages>
  <Words>1147</Words>
  <Characters>6542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2021-05-12T02:50:00Z</dcterms:created>
  <dcterms:modified xsi:type="dcterms:W3CDTF">2021-05-12T02:50:00Z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0x010100476318262F18B643A8EED0468F527E54</vt:lpwstr>
  </property>
  <property fmtid="{D5CDD505-2E9C-101B-9397-08002B2CF9AE}" pid="3" name="_docset_NoMedatataSyncRequired">
    <vt:lpwstr>False</vt:lpwstr>
  </property>
  <property fmtid="{D5CDD505-2E9C-101B-9397-08002B2CF9AE}" pid="4" name="Replytype">
    <vt:lpwstr/>
  </property>
</Properties>
</file>