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D9" w:rsidRDefault="006A19D9" w:rsidP="006A19D9">
      <w:pPr>
        <w:pStyle w:val="heading1blue"/>
      </w:pPr>
      <w:r w:rsidRPr="006A19D9">
        <w:rPr>
          <w:b/>
        </w:rPr>
        <w:t>Checklist:</w:t>
      </w:r>
      <w:r>
        <w:t xml:space="preserve"> Best practice </w:t>
      </w:r>
      <w:r w:rsidRPr="005219C3">
        <w:t>checklist</w:t>
      </w:r>
      <w:r>
        <w:t xml:space="preserve"> for cost-benefit analysis</w:t>
      </w:r>
    </w:p>
    <w:p w:rsidR="006A19D9" w:rsidRDefault="006A19D9" w:rsidP="006A19D9">
      <w:pPr>
        <w:pStyle w:val="bodycopy"/>
      </w:pPr>
      <w:r>
        <w:t xml:space="preserve">This checklist will help you to assess the quality of a cost-benefit analysis and specify the requirements for a commissioned cost-benefit analysis. You may need to seek technical guidance to assess some of these characteristics. </w:t>
      </w:r>
    </w:p>
    <w:p w:rsidR="006A19D9" w:rsidRPr="00DD0FDE" w:rsidRDefault="006A19D9" w:rsidP="006A19D9">
      <w:pPr>
        <w:pStyle w:val="bodycopy"/>
      </w:pPr>
      <w:bookmarkStart w:id="0" w:name="_GoBack"/>
      <w:bookmarkEnd w:id="0"/>
    </w:p>
    <w:p w:rsidR="006A19D9" w:rsidRPr="003D7B4A" w:rsidRDefault="006A19D9" w:rsidP="006A19D9">
      <w:pPr>
        <w:pStyle w:val="heading2black"/>
      </w:pPr>
      <w:r w:rsidRPr="003D7B4A">
        <w:t xml:space="preserve">Before undertaking a cost-benefit analysis </w:t>
      </w:r>
    </w:p>
    <w:tbl>
      <w:tblPr>
        <w:tblStyle w:val="LightList-Accent1"/>
        <w:tblW w:w="0" w:type="auto"/>
        <w:tblLook w:val="04A0" w:firstRow="1" w:lastRow="0" w:firstColumn="1" w:lastColumn="0" w:noHBand="0" w:noVBand="1"/>
        <w:tblDescription w:val="This table presents the ideal characteristics of a cost-benefit analysis before you have commenced your analysis."/>
      </w:tblPr>
      <w:tblGrid>
        <w:gridCol w:w="1194"/>
        <w:gridCol w:w="7278"/>
        <w:gridCol w:w="770"/>
      </w:tblGrid>
      <w:tr w:rsidR="006A19D9" w:rsidRPr="00565832" w:rsidTr="005F0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6A19D9" w:rsidRPr="005219C3" w:rsidRDefault="006A19D9" w:rsidP="005F07AD">
            <w:pPr>
              <w:pStyle w:val="tabletitles"/>
              <w:rPr>
                <w:b/>
              </w:rPr>
            </w:pPr>
            <w:r w:rsidRPr="005219C3">
              <w:rPr>
                <w:b/>
              </w:rPr>
              <w:t>Step</w:t>
            </w:r>
          </w:p>
        </w:tc>
        <w:tc>
          <w:tcPr>
            <w:tcW w:w="7278" w:type="dxa"/>
          </w:tcPr>
          <w:p w:rsidR="006A19D9" w:rsidRPr="005219C3" w:rsidRDefault="006A19D9" w:rsidP="005F07AD">
            <w:pPr>
              <w:pStyle w:val="tabletit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19C3">
              <w:rPr>
                <w:b/>
              </w:rPr>
              <w:t>Ideal characteristics</w:t>
            </w:r>
          </w:p>
        </w:tc>
        <w:tc>
          <w:tcPr>
            <w:tcW w:w="770" w:type="dxa"/>
          </w:tcPr>
          <w:p w:rsidR="006A19D9" w:rsidRPr="00565832" w:rsidDel="003D7B4A" w:rsidRDefault="006A19D9" w:rsidP="005F07AD">
            <w:pPr>
              <w:pStyle w:val="tabletit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Merge w:val="restart"/>
          </w:tcPr>
          <w:p w:rsidR="006A19D9" w:rsidRPr="00565832" w:rsidRDefault="006A19D9" w:rsidP="005F07AD">
            <w:pPr>
              <w:pStyle w:val="tabletext"/>
            </w:pPr>
            <w:r w:rsidRPr="00565832">
              <w:t>Pre - CBA</w:t>
            </w:r>
          </w:p>
        </w:tc>
        <w:tc>
          <w:tcPr>
            <w:tcW w:w="7278" w:type="dxa"/>
          </w:tcPr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65832">
              <w:rPr>
                <w:i/>
              </w:rPr>
              <w:t>Timing</w:t>
            </w:r>
          </w:p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832">
              <w:t>The cost-benefit analysis is being undertaken before a public commitment has been made (if not, establish the purpose of the CBA)</w:t>
            </w:r>
          </w:p>
        </w:tc>
        <w:tc>
          <w:tcPr>
            <w:tcW w:w="770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7278" w:type="dxa"/>
          </w:tcPr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65832">
              <w:rPr>
                <w:i/>
              </w:rPr>
              <w:t>Proportionality</w:t>
            </w:r>
          </w:p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65832">
              <w:t>The effort involved in undertaking the cost-benefit analysis is proportional to the size or extent of the investment</w:t>
            </w:r>
          </w:p>
        </w:tc>
        <w:tc>
          <w:tcPr>
            <w:tcW w:w="770" w:type="dxa"/>
          </w:tcPr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</w:tbl>
    <w:p w:rsidR="006A19D9" w:rsidRDefault="006A19D9" w:rsidP="006A19D9"/>
    <w:p w:rsidR="006A19D9" w:rsidRPr="003D7B4A" w:rsidRDefault="006A19D9" w:rsidP="006A19D9">
      <w:pPr>
        <w:pStyle w:val="heading2black"/>
      </w:pPr>
      <w:r w:rsidRPr="003D7B4A">
        <w:t>The cost-benefit analysis</w:t>
      </w:r>
    </w:p>
    <w:tbl>
      <w:tblPr>
        <w:tblStyle w:val="LightList-Accent1"/>
        <w:tblW w:w="0" w:type="auto"/>
        <w:tblLook w:val="04A0" w:firstRow="1" w:lastRow="0" w:firstColumn="1" w:lastColumn="0" w:noHBand="0" w:noVBand="1"/>
        <w:tblDescription w:val="This table presents the ideal characteristics of a cost-benefit analysis."/>
      </w:tblPr>
      <w:tblGrid>
        <w:gridCol w:w="1806"/>
        <w:gridCol w:w="6673"/>
        <w:gridCol w:w="763"/>
      </w:tblGrid>
      <w:tr w:rsidR="006A19D9" w:rsidRPr="00565832" w:rsidTr="005F0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:rsidR="006A19D9" w:rsidRPr="005219C3" w:rsidRDefault="006A19D9" w:rsidP="005F07AD">
            <w:pPr>
              <w:pStyle w:val="tabletitles"/>
              <w:rPr>
                <w:b/>
              </w:rPr>
            </w:pPr>
            <w:r w:rsidRPr="005219C3">
              <w:rPr>
                <w:b/>
              </w:rPr>
              <w:t>Step</w:t>
            </w:r>
          </w:p>
        </w:tc>
        <w:tc>
          <w:tcPr>
            <w:tcW w:w="6673" w:type="dxa"/>
          </w:tcPr>
          <w:p w:rsidR="006A19D9" w:rsidRPr="005219C3" w:rsidRDefault="006A19D9" w:rsidP="005F07AD">
            <w:pPr>
              <w:pStyle w:val="tabletit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19C3">
              <w:rPr>
                <w:b/>
              </w:rPr>
              <w:t>Ideal characteristics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</w:tcPr>
          <w:p w:rsidR="006A19D9" w:rsidRPr="00565832" w:rsidRDefault="006A19D9" w:rsidP="005F07AD">
            <w:pPr>
              <w:pStyle w:val="tabletext"/>
            </w:pPr>
            <w:r w:rsidRPr="00565832">
              <w:t>Options assessment</w:t>
            </w: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65832">
              <w:rPr>
                <w:i/>
              </w:rPr>
              <w:t>Base case</w:t>
            </w:r>
          </w:p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832">
              <w:t>The base case is clearly defined and credible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65832">
              <w:rPr>
                <w:i/>
              </w:rPr>
              <w:t>Options</w:t>
            </w:r>
          </w:p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832">
              <w:t>A reasonable set of alternative options has been incorporated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832">
              <w:t>There is a comprehensive description of alternative options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832">
              <w:t>The base year is common to all options being considered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65832">
              <w:rPr>
                <w:i/>
              </w:rPr>
              <w:t>Assumptions and data</w:t>
            </w:r>
          </w:p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832">
              <w:t>Details of underlying assumptions ha</w:t>
            </w:r>
            <w:r w:rsidR="003270ED">
              <w:t>ve</w:t>
            </w:r>
            <w:r w:rsidRPr="00565832">
              <w:t xml:space="preserve"> been clearly articulated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832">
              <w:t>Sources of key input data and parameter values have been provided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832">
              <w:t>The demand forecasting method is appropriate (seek technical advice if required)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832">
              <w:t>Forecasts have been based on comparable projects or policies (where possible) or from robust publicly available research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</w:tcPr>
          <w:p w:rsidR="006A19D9" w:rsidRPr="00565832" w:rsidRDefault="006A19D9" w:rsidP="005F07AD">
            <w:pPr>
              <w:pStyle w:val="tabletext"/>
            </w:pPr>
            <w:r w:rsidRPr="00565832">
              <w:t xml:space="preserve">Impact identification </w:t>
            </w: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832">
              <w:t>All the important benefits and costs for each alternative have been identified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65832">
              <w:t>There is a description of all costs and benefits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65832">
              <w:t>All the potentially affected parties have been considered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65832">
              <w:t>Externalities have been considered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65832">
              <w:t>Non-market impacts have been considered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65832">
              <w:t>Significant option or existence values have been considered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</w:tcPr>
          <w:p w:rsidR="006A19D9" w:rsidRPr="00565832" w:rsidRDefault="006A19D9" w:rsidP="005F07AD">
            <w:pPr>
              <w:pStyle w:val="tabletext"/>
            </w:pPr>
            <w:r w:rsidRPr="00565832">
              <w:t>Cost and benefit valuation</w:t>
            </w: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65832">
              <w:rPr>
                <w:i/>
              </w:rPr>
              <w:t>Quantifying costs and benefits</w:t>
            </w:r>
          </w:p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832">
              <w:t>Costs and benefits are valued credibly (seek technical advice if required)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65832">
              <w:t>Methods for estimating costs and benefits are described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65832">
              <w:t xml:space="preserve">Costs and benefits have been described incrementally against the base </w:t>
            </w:r>
            <w:r w:rsidRPr="00565832">
              <w:lastRenderedPageBreak/>
              <w:t>case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lastRenderedPageBreak/>
              <w:sym w:font="Wingdings" w:char="F06F"/>
            </w:r>
          </w:p>
        </w:tc>
      </w:tr>
      <w:tr w:rsidR="006A19D9" w:rsidRPr="00565832" w:rsidTr="005F07A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65832">
              <w:t>Costs and benefits have been valued at their market or economic value where possible, based on reasonable and verifiable assumptions (seek technical advice if required)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65832">
              <w:t xml:space="preserve">The values of all costs and benefits have been adjusted for </w:t>
            </w:r>
            <w:proofErr w:type="gramStart"/>
            <w:r w:rsidRPr="00565832">
              <w:t>real price</w:t>
            </w:r>
            <w:proofErr w:type="gramEnd"/>
            <w:r w:rsidRPr="00565832">
              <w:t xml:space="preserve"> variations over time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832">
              <w:t>Opportunity costs have been considered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65832">
              <w:t>There is a list detailing cost and benefit streams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65832">
              <w:rPr>
                <w:i/>
              </w:rPr>
              <w:t xml:space="preserve">Qualitative costs and benefits </w:t>
            </w:r>
          </w:p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832">
              <w:t>Non-quantifiable costs and benefits have been discussed in qualitative terms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65832">
              <w:rPr>
                <w:i/>
              </w:rPr>
              <w:t>Evaluation period</w:t>
            </w:r>
          </w:p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65832">
              <w:t>The evaluation period is based on the economic life of the investment</w:t>
            </w:r>
            <w:r>
              <w:t>/decision (e.g. 10 years for a regulation)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65832">
              <w:t xml:space="preserve">A residual value has been incorporated if the economic life of the project exceeds the evaluation period of the project.  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</w:tcPr>
          <w:p w:rsidR="006A19D9" w:rsidRPr="00565832" w:rsidRDefault="006A19D9" w:rsidP="005F07AD">
            <w:pPr>
              <w:pStyle w:val="tabletext"/>
            </w:pPr>
            <w:r w:rsidRPr="00565832">
              <w:t>Discounting</w:t>
            </w: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832">
              <w:t xml:space="preserve">Costs and benefits have been adjusted for the </w:t>
            </w:r>
            <w:proofErr w:type="gramStart"/>
            <w:r w:rsidRPr="00565832">
              <w:t>different times</w:t>
            </w:r>
            <w:proofErr w:type="gramEnd"/>
            <w:r w:rsidRPr="00565832">
              <w:t xml:space="preserve"> at which they occurred (i.e., discounted)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Del="00C31289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832">
              <w:t xml:space="preserve">The discount rate follows </w:t>
            </w:r>
            <w:r>
              <w:t xml:space="preserve">the appropriate guidelines </w:t>
            </w:r>
            <w:r w:rsidRPr="0093468B">
              <w:t xml:space="preserve">(e.g., Section 6 of DTF’s </w:t>
            </w:r>
            <w:hyperlink r:id="rId6" w:history="1">
              <w:r w:rsidRPr="0093468B">
                <w:rPr>
                  <w:rStyle w:val="Hyperlink"/>
                </w:rPr>
                <w:t>Economic Evaluation for Business Cases Technical Guidance</w:t>
              </w:r>
            </w:hyperlink>
            <w:r w:rsidRPr="0093468B">
              <w:t xml:space="preserve"> if seeking state funding, or Section 10.4.2 of Infrastructure Australia’s </w:t>
            </w:r>
            <w:hyperlink r:id="rId7" w:history="1">
              <w:r w:rsidRPr="0093468B">
                <w:rPr>
                  <w:rStyle w:val="Hyperlink"/>
                </w:rPr>
                <w:t>Assessment Framework Detailed Technical Guidance</w:t>
              </w:r>
            </w:hyperlink>
            <w:r w:rsidRPr="0093468B">
              <w:t xml:space="preserve"> if seeking national infrastructure funding)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</w:tcPr>
          <w:p w:rsidR="006A19D9" w:rsidRPr="00565832" w:rsidRDefault="006A19D9" w:rsidP="005F07AD">
            <w:pPr>
              <w:pStyle w:val="tabletext"/>
            </w:pPr>
            <w:r>
              <w:t>Addressing risk and uncertainty</w:t>
            </w: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832">
              <w:t>All major areas of risk and uncertainty have been considered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832">
              <w:t>Appropriate sensitivity testing has been conducted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832">
              <w:t>There is a discussion of how alternative assumptions may affect outcomes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</w:tcPr>
          <w:p w:rsidR="006A19D9" w:rsidRPr="00565832" w:rsidRDefault="006A19D9" w:rsidP="005F07AD">
            <w:pPr>
              <w:pStyle w:val="tabletext"/>
            </w:pPr>
            <w:r w:rsidRPr="00565832">
              <w:t>Identifying the preferred option</w:t>
            </w: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65832">
              <w:rPr>
                <w:i/>
              </w:rPr>
              <w:t>Decision criteria</w:t>
            </w:r>
          </w:p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832">
              <w:t>The results of the assessment and measures of economic worth (i.e., NPV, BCR and IRR) are clearly presented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Del="001F0608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832">
              <w:t>There is an explanation of why a decision criterion was chosen over others (i.e., NPV, BCR or IRR)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65832">
              <w:rPr>
                <w:i/>
              </w:rPr>
              <w:t>Identifying the preferred option</w:t>
            </w:r>
          </w:p>
          <w:p w:rsidR="006A19D9" w:rsidRPr="00565832" w:rsidDel="001F0608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832">
              <w:t>The results have been ranked based on initial results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Del="001F0608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832">
              <w:t>The results have been ranked based on sensitivity testing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Del="001F0608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832">
              <w:t>The results of different approaches were easy to compare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Del="001F0608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832">
              <w:t xml:space="preserve">A preferred option has been identified that </w:t>
            </w:r>
            <w:proofErr w:type="gramStart"/>
            <w:r w:rsidRPr="00565832">
              <w:t>takes into account</w:t>
            </w:r>
            <w:proofErr w:type="gramEnd"/>
            <w:r w:rsidRPr="00565832">
              <w:t xml:space="preserve"> the initial assessment, sensitivity testing and all qualitative factors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Del="001F0608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832">
              <w:t>There is a comparison of the preferred option with other options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</w:tcPr>
          <w:p w:rsidR="006A19D9" w:rsidRPr="00565832" w:rsidRDefault="006A19D9" w:rsidP="005F07AD">
            <w:pPr>
              <w:pStyle w:val="tabletext"/>
            </w:pPr>
            <w:r w:rsidRPr="00565832">
              <w:t>Presentation of results</w:t>
            </w: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832">
              <w:t>The structure and presentation of the CBA allows for easy interpretation and validation of the information and data provided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832">
              <w:t>The results of different assessments are easy to compare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:rsidR="006A19D9" w:rsidRPr="00565832" w:rsidRDefault="006A19D9" w:rsidP="005F07AD">
            <w:pPr>
              <w:pStyle w:val="tabletext"/>
            </w:pPr>
            <w:r w:rsidRPr="00565832">
              <w:t>Supplementary analysis</w:t>
            </w:r>
          </w:p>
        </w:tc>
        <w:tc>
          <w:tcPr>
            <w:tcW w:w="6673" w:type="dxa"/>
          </w:tcPr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832">
              <w:t>The details of any supplementary analysis (e.g., multi-criteria analysis</w:t>
            </w:r>
            <w:r>
              <w:t>, assessment of distributional and/or equity impacts</w:t>
            </w:r>
            <w:r w:rsidRPr="00565832">
              <w:t>) have been provided</w:t>
            </w:r>
          </w:p>
        </w:tc>
        <w:tc>
          <w:tcPr>
            <w:tcW w:w="763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</w:tbl>
    <w:p w:rsidR="006A19D9" w:rsidRDefault="006A19D9" w:rsidP="006A19D9"/>
    <w:p w:rsidR="006A19D9" w:rsidRPr="003D7B4A" w:rsidRDefault="006A19D9" w:rsidP="006A19D9">
      <w:pPr>
        <w:pStyle w:val="heading2black"/>
      </w:pPr>
      <w:r w:rsidRPr="003D7B4A">
        <w:t xml:space="preserve">After the cost-benefit analysis </w:t>
      </w:r>
    </w:p>
    <w:tbl>
      <w:tblPr>
        <w:tblStyle w:val="LightList-Accent1"/>
        <w:tblW w:w="0" w:type="auto"/>
        <w:tblLook w:val="04A0" w:firstRow="1" w:lastRow="0" w:firstColumn="1" w:lastColumn="0" w:noHBand="0" w:noVBand="1"/>
        <w:tblDescription w:val="This table presents the ideal characteristics of a cost-benefit analysis after the analysis is completed."/>
      </w:tblPr>
      <w:tblGrid>
        <w:gridCol w:w="1222"/>
        <w:gridCol w:w="7250"/>
        <w:gridCol w:w="770"/>
      </w:tblGrid>
      <w:tr w:rsidR="006A19D9" w:rsidRPr="00565832" w:rsidTr="005F0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:rsidR="006A19D9" w:rsidRPr="005219C3" w:rsidRDefault="006A19D9" w:rsidP="005F07AD">
            <w:pPr>
              <w:pStyle w:val="tabletitles"/>
              <w:rPr>
                <w:b/>
              </w:rPr>
            </w:pPr>
            <w:r w:rsidRPr="005219C3">
              <w:rPr>
                <w:b/>
              </w:rPr>
              <w:t>Step</w:t>
            </w:r>
          </w:p>
        </w:tc>
        <w:tc>
          <w:tcPr>
            <w:tcW w:w="7250" w:type="dxa"/>
          </w:tcPr>
          <w:p w:rsidR="006A19D9" w:rsidRPr="005219C3" w:rsidRDefault="006A19D9" w:rsidP="005F07AD">
            <w:pPr>
              <w:pStyle w:val="tabletit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19C3">
              <w:rPr>
                <w:b/>
              </w:rPr>
              <w:t>Ideal characteristics</w:t>
            </w:r>
          </w:p>
        </w:tc>
        <w:tc>
          <w:tcPr>
            <w:tcW w:w="770" w:type="dxa"/>
          </w:tcPr>
          <w:p w:rsidR="006A19D9" w:rsidRPr="005219C3" w:rsidRDefault="006A19D9" w:rsidP="005F07AD">
            <w:pPr>
              <w:pStyle w:val="tabletit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Merge w:val="restart"/>
          </w:tcPr>
          <w:p w:rsidR="006A19D9" w:rsidRPr="00565832" w:rsidRDefault="006A19D9" w:rsidP="005F07AD">
            <w:pPr>
              <w:pStyle w:val="tabletext"/>
            </w:pPr>
            <w:r w:rsidRPr="00565832">
              <w:t>Post-CBA</w:t>
            </w:r>
          </w:p>
        </w:tc>
        <w:tc>
          <w:tcPr>
            <w:tcW w:w="7250" w:type="dxa"/>
          </w:tcPr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65832">
              <w:rPr>
                <w:i/>
              </w:rPr>
              <w:t>Timing</w:t>
            </w:r>
          </w:p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832">
              <w:t>The cost-benefit analysis has been updated as the project has evolved</w:t>
            </w:r>
          </w:p>
        </w:tc>
        <w:tc>
          <w:tcPr>
            <w:tcW w:w="770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7250" w:type="dxa"/>
          </w:tcPr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65832">
              <w:rPr>
                <w:i/>
              </w:rPr>
              <w:t>Objectivity</w:t>
            </w:r>
          </w:p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gramStart"/>
            <w:r w:rsidRPr="00565832">
              <w:t>The cost-benefit analysis was undertaken by an objective third party</w:t>
            </w:r>
            <w:proofErr w:type="gramEnd"/>
          </w:p>
        </w:tc>
        <w:tc>
          <w:tcPr>
            <w:tcW w:w="770" w:type="dxa"/>
          </w:tcPr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7250" w:type="dxa"/>
          </w:tcPr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65832">
              <w:rPr>
                <w:i/>
              </w:rPr>
              <w:t xml:space="preserve">Quality of analysis </w:t>
            </w:r>
            <w:r w:rsidRPr="00565832">
              <w:t>(seek technical advice if required)</w:t>
            </w:r>
          </w:p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65832">
              <w:t xml:space="preserve">The depth of analysis offers assurance that results are credible </w:t>
            </w:r>
          </w:p>
        </w:tc>
        <w:tc>
          <w:tcPr>
            <w:tcW w:w="770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7250" w:type="dxa"/>
          </w:tcPr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65832">
              <w:t xml:space="preserve">The information and data provided in the cost-benefit analysis are internally consistent </w:t>
            </w:r>
          </w:p>
        </w:tc>
        <w:tc>
          <w:tcPr>
            <w:tcW w:w="770" w:type="dxa"/>
          </w:tcPr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7250" w:type="dxa"/>
          </w:tcPr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65832">
              <w:t xml:space="preserve">An appropriately detailed and tailored methodology has been applied </w:t>
            </w:r>
          </w:p>
        </w:tc>
        <w:tc>
          <w:tcPr>
            <w:tcW w:w="770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7250" w:type="dxa"/>
          </w:tcPr>
          <w:p w:rsidR="006A19D9" w:rsidRPr="00565832" w:rsidRDefault="006A19D9" w:rsidP="005F07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65832">
              <w:t>Double-counting of benefits has been avoided</w:t>
            </w:r>
          </w:p>
        </w:tc>
        <w:tc>
          <w:tcPr>
            <w:tcW w:w="770" w:type="dxa"/>
          </w:tcPr>
          <w:p w:rsidR="006A19D9" w:rsidRPr="00565832" w:rsidRDefault="006A19D9" w:rsidP="005F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  <w:tr w:rsidR="006A19D9" w:rsidRPr="00565832" w:rsidTr="005F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Merge/>
          </w:tcPr>
          <w:p w:rsidR="006A19D9" w:rsidRPr="00565832" w:rsidRDefault="006A19D9" w:rsidP="005F07AD">
            <w:pPr>
              <w:pStyle w:val="tabletext"/>
            </w:pPr>
          </w:p>
        </w:tc>
        <w:tc>
          <w:tcPr>
            <w:tcW w:w="7250" w:type="dxa"/>
          </w:tcPr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565832">
              <w:rPr>
                <w:i/>
              </w:rPr>
              <w:t>Transparency</w:t>
            </w:r>
          </w:p>
          <w:p w:rsidR="006A19D9" w:rsidRPr="00565832" w:rsidRDefault="006A19D9" w:rsidP="005F07A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65832">
              <w:t>The cost-benefit analysis has been made available for public scrutiny (unless there are good reasons for not doing so)</w:t>
            </w:r>
          </w:p>
        </w:tc>
        <w:tc>
          <w:tcPr>
            <w:tcW w:w="770" w:type="dxa"/>
          </w:tcPr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6A19D9" w:rsidRPr="00565832" w:rsidRDefault="006A19D9" w:rsidP="005F0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832">
              <w:rPr>
                <w:color w:val="auto"/>
              </w:rPr>
              <w:sym w:font="Wingdings" w:char="F06F"/>
            </w:r>
          </w:p>
        </w:tc>
      </w:tr>
    </w:tbl>
    <w:p w:rsidR="006A19D9" w:rsidRDefault="006A19D9" w:rsidP="006A19D9"/>
    <w:p w:rsidR="006A19D9" w:rsidRPr="00D21E12" w:rsidRDefault="006A19D9" w:rsidP="006A19D9">
      <w:pPr>
        <w:rPr>
          <w:rFonts w:cs="Arial"/>
          <w:color w:val="064EA8"/>
          <w:sz w:val="24"/>
          <w:szCs w:val="20"/>
        </w:rPr>
      </w:pPr>
    </w:p>
    <w:p w:rsidR="00574025" w:rsidRPr="006A19D9" w:rsidRDefault="00574025" w:rsidP="006A19D9"/>
    <w:sectPr w:rsidR="00574025" w:rsidRPr="006A19D9" w:rsidSect="006A1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79F" w:rsidRDefault="0053479F" w:rsidP="00743A96">
      <w:r>
        <w:separator/>
      </w:r>
    </w:p>
  </w:endnote>
  <w:endnote w:type="continuationSeparator" w:id="0">
    <w:p w:rsidR="0053479F" w:rsidRDefault="0053479F" w:rsidP="0074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A96" w:rsidRDefault="00215AC1" w:rsidP="00215AC1">
    <w:pPr>
      <w:pStyle w:val="Footer"/>
      <w:jc w:val="center"/>
      <w:rPr>
        <w:rFonts w:cs="Arial"/>
        <w:color w:val="000000"/>
        <w:sz w:val="18"/>
      </w:rPr>
    </w:pPr>
    <w:bookmarkStart w:id="3" w:name="aliashAdvancedHeaderFoot1FooterEvenPages"/>
    <w:r>
      <w:rPr>
        <w:rFonts w:cs="Arial"/>
        <w:color w:val="000000"/>
        <w:sz w:val="18"/>
      </w:rPr>
      <w:t>UNCLASSIFIED</w:t>
    </w:r>
  </w:p>
  <w:bookmarkEnd w:id="3"/>
  <w:p w:rsidR="00743A96" w:rsidRDefault="00743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A96" w:rsidRDefault="00215AC1" w:rsidP="00215AC1">
    <w:pPr>
      <w:pStyle w:val="Footer"/>
      <w:jc w:val="center"/>
      <w:rPr>
        <w:rFonts w:cs="Arial"/>
        <w:color w:val="000000"/>
        <w:sz w:val="18"/>
      </w:rPr>
    </w:pPr>
    <w:bookmarkStart w:id="4" w:name="aliashAdvancedHeaderFooter1FooterPrimary"/>
    <w:r>
      <w:rPr>
        <w:rFonts w:cs="Arial"/>
        <w:color w:val="000000"/>
        <w:sz w:val="18"/>
      </w:rPr>
      <w:t>UNCLASSIFIED</w:t>
    </w:r>
  </w:p>
  <w:bookmarkEnd w:id="4"/>
  <w:p w:rsidR="00743A96" w:rsidRDefault="00743A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A96" w:rsidRDefault="00215AC1" w:rsidP="00215AC1">
    <w:pPr>
      <w:pStyle w:val="Footer"/>
      <w:jc w:val="center"/>
      <w:rPr>
        <w:rFonts w:cs="Arial"/>
        <w:color w:val="000000"/>
        <w:sz w:val="18"/>
      </w:rPr>
    </w:pPr>
    <w:bookmarkStart w:id="6" w:name="aliashAdvancedHeaderFoot1FooterFirstPage"/>
    <w:r>
      <w:rPr>
        <w:rFonts w:cs="Arial"/>
        <w:color w:val="000000"/>
        <w:sz w:val="18"/>
      </w:rPr>
      <w:t>UNCLASSIFIED</w:t>
    </w:r>
  </w:p>
  <w:bookmarkEnd w:id="6"/>
  <w:p w:rsidR="00743A96" w:rsidRDefault="00743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79F" w:rsidRDefault="0053479F" w:rsidP="00743A96">
      <w:r>
        <w:separator/>
      </w:r>
    </w:p>
  </w:footnote>
  <w:footnote w:type="continuationSeparator" w:id="0">
    <w:p w:rsidR="0053479F" w:rsidRDefault="0053479F" w:rsidP="0074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A96" w:rsidRDefault="00215AC1" w:rsidP="00215AC1">
    <w:pPr>
      <w:pStyle w:val="Header"/>
      <w:jc w:val="center"/>
      <w:rPr>
        <w:rFonts w:cs="Arial"/>
        <w:color w:val="000000"/>
        <w:sz w:val="18"/>
      </w:rPr>
    </w:pPr>
    <w:bookmarkStart w:id="1" w:name="aliashAdvancedHeaderFoot1HeaderEvenPages"/>
    <w:r>
      <w:rPr>
        <w:rFonts w:cs="Arial"/>
        <w:color w:val="000000"/>
        <w:sz w:val="18"/>
      </w:rPr>
      <w:t>UNCLASSIFIED</w:t>
    </w:r>
  </w:p>
  <w:bookmarkEnd w:id="1"/>
  <w:p w:rsidR="00743A96" w:rsidRDefault="00743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A96" w:rsidRDefault="00215AC1" w:rsidP="00215AC1">
    <w:pPr>
      <w:pStyle w:val="Header"/>
      <w:jc w:val="center"/>
      <w:rPr>
        <w:rFonts w:cs="Arial"/>
        <w:color w:val="000000"/>
        <w:sz w:val="18"/>
      </w:rPr>
    </w:pPr>
    <w:bookmarkStart w:id="2" w:name="aliashAdvancedHeaderFooter1HeaderPrimary"/>
    <w:r>
      <w:rPr>
        <w:rFonts w:cs="Arial"/>
        <w:color w:val="000000"/>
        <w:sz w:val="18"/>
      </w:rPr>
      <w:t>UNCLASSIFIED</w:t>
    </w:r>
  </w:p>
  <w:bookmarkEnd w:id="2"/>
  <w:p w:rsidR="00743A96" w:rsidRDefault="00743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A96" w:rsidRDefault="00215AC1" w:rsidP="00215AC1">
    <w:pPr>
      <w:pStyle w:val="Header"/>
      <w:jc w:val="center"/>
      <w:rPr>
        <w:rFonts w:cs="Arial"/>
        <w:color w:val="000000"/>
        <w:sz w:val="18"/>
      </w:rPr>
    </w:pPr>
    <w:bookmarkStart w:id="5" w:name="aliashAdvancedHeaderFoot1HeaderFirstPage"/>
    <w:r>
      <w:rPr>
        <w:rFonts w:cs="Arial"/>
        <w:color w:val="000000"/>
        <w:sz w:val="18"/>
      </w:rPr>
      <w:t>UNCLASSIFIED</w:t>
    </w:r>
  </w:p>
  <w:bookmarkEnd w:id="5"/>
  <w:p w:rsidR="00743A96" w:rsidRDefault="00743A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96"/>
    <w:rsid w:val="000A1CA3"/>
    <w:rsid w:val="000D6904"/>
    <w:rsid w:val="0021158B"/>
    <w:rsid w:val="00215AC1"/>
    <w:rsid w:val="00256C24"/>
    <w:rsid w:val="003270ED"/>
    <w:rsid w:val="0053479F"/>
    <w:rsid w:val="00574025"/>
    <w:rsid w:val="006A19D9"/>
    <w:rsid w:val="006D055B"/>
    <w:rsid w:val="00743A96"/>
    <w:rsid w:val="00CB4634"/>
    <w:rsid w:val="00E4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D50478C-BD02-4B7E-8ADA-BF8920E1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A96"/>
    <w:pPr>
      <w:spacing w:after="0" w:line="240" w:lineRule="auto"/>
    </w:pPr>
    <w:rPr>
      <w:rFonts w:ascii="Arial" w:eastAsia="Times New Roman" w:hAnsi="Arial" w:cs="Times New Roman"/>
      <w:color w:val="53565A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A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A96"/>
  </w:style>
  <w:style w:type="paragraph" w:styleId="Footer">
    <w:name w:val="footer"/>
    <w:basedOn w:val="Normal"/>
    <w:link w:val="FooterChar"/>
    <w:uiPriority w:val="99"/>
    <w:unhideWhenUsed/>
    <w:rsid w:val="00743A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A96"/>
  </w:style>
  <w:style w:type="paragraph" w:customStyle="1" w:styleId="bodycopy">
    <w:name w:val="# body copy"/>
    <w:basedOn w:val="Normal"/>
    <w:link w:val="bodycopyChar"/>
    <w:qFormat/>
    <w:rsid w:val="00743A96"/>
    <w:pPr>
      <w:spacing w:after="120"/>
    </w:pPr>
    <w:rPr>
      <w:rFonts w:cs="Arial"/>
      <w:color w:val="auto"/>
      <w:sz w:val="22"/>
      <w:szCs w:val="20"/>
    </w:rPr>
  </w:style>
  <w:style w:type="paragraph" w:customStyle="1" w:styleId="heading1blue">
    <w:name w:val="# heading 1 blue"/>
    <w:basedOn w:val="Normal"/>
    <w:next w:val="bodycopy"/>
    <w:qFormat/>
    <w:rsid w:val="00743A96"/>
    <w:pPr>
      <w:keepNext/>
      <w:spacing w:before="240" w:after="120"/>
    </w:pPr>
    <w:rPr>
      <w:rFonts w:cs="Arial"/>
      <w:color w:val="064EA8"/>
      <w:sz w:val="24"/>
      <w:szCs w:val="20"/>
    </w:rPr>
  </w:style>
  <w:style w:type="character" w:customStyle="1" w:styleId="bodycopyChar">
    <w:name w:val="# body copy Char"/>
    <w:basedOn w:val="DefaultParagraphFont"/>
    <w:link w:val="bodycopy"/>
    <w:rsid w:val="00743A96"/>
    <w:rPr>
      <w:rFonts w:ascii="Arial" w:eastAsia="Times New Roman" w:hAnsi="Arial" w:cs="Arial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96"/>
    <w:rPr>
      <w:rFonts w:ascii="Tahoma" w:eastAsia="Times New Roman" w:hAnsi="Tahoma" w:cs="Tahoma"/>
      <w:color w:val="53565A"/>
      <w:sz w:val="16"/>
      <w:szCs w:val="16"/>
      <w:lang w:eastAsia="en-AU"/>
    </w:rPr>
  </w:style>
  <w:style w:type="paragraph" w:customStyle="1" w:styleId="heading2black">
    <w:name w:val="# heading 2 black"/>
    <w:basedOn w:val="heading1blue"/>
    <w:next w:val="bodycopy"/>
    <w:qFormat/>
    <w:rsid w:val="006A19D9"/>
    <w:rPr>
      <w:b/>
      <w:color w:val="auto"/>
      <w:sz w:val="22"/>
    </w:rPr>
  </w:style>
  <w:style w:type="paragraph" w:customStyle="1" w:styleId="tabletitles">
    <w:name w:val="# table titles"/>
    <w:basedOn w:val="Normal"/>
    <w:qFormat/>
    <w:rsid w:val="006A19D9"/>
    <w:pPr>
      <w:spacing w:before="60" w:after="60"/>
    </w:pPr>
    <w:rPr>
      <w:rFonts w:cs="Arial"/>
      <w:b/>
      <w:color w:val="FFFFFF"/>
      <w:szCs w:val="20"/>
    </w:rPr>
  </w:style>
  <w:style w:type="paragraph" w:customStyle="1" w:styleId="tabletext">
    <w:name w:val="# table text"/>
    <w:basedOn w:val="Normal"/>
    <w:qFormat/>
    <w:rsid w:val="006A19D9"/>
    <w:pPr>
      <w:spacing w:before="60" w:after="60"/>
    </w:pPr>
    <w:rPr>
      <w:rFonts w:cs="Arial"/>
      <w:color w:val="auto"/>
      <w:szCs w:val="18"/>
    </w:rPr>
  </w:style>
  <w:style w:type="character" w:styleId="Hyperlink">
    <w:name w:val="Hyperlink"/>
    <w:basedOn w:val="DefaultParagraphFont"/>
    <w:uiPriority w:val="99"/>
    <w:unhideWhenUsed/>
    <w:rsid w:val="006A19D9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6A19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2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infrastructureaustralia.gov.au/policy-publications/publications/files/IFA_Infrastructure_Australia_Assessment_Framework_Refresh_v26_lowres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tf.vic.gov.au/sites/default/files/2018-03/Economic%20Evaluation%20-%20Technical%20Guide.doc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Straton</dc:creator>
  <cp:lastModifiedBy>Richard Harslett (DEDJTR)</cp:lastModifiedBy>
  <cp:revision>4</cp:revision>
  <dcterms:created xsi:type="dcterms:W3CDTF">2018-04-10T03:03:00Z</dcterms:created>
  <dcterms:modified xsi:type="dcterms:W3CDTF">2018-04-23T02:38:00Z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d04f7ffc-56f8-4fca-9935-819995b7cb80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Anna Straton</vt:lpwstr>
  </property>
</Properties>
</file>