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3722F" w14:textId="49C7B1DE" w:rsidR="0009570A" w:rsidRDefault="0009570A" w:rsidP="00393E82">
      <w:pPr>
        <w:pStyle w:val="Heading1"/>
      </w:pPr>
      <w:bookmarkStart w:id="0" w:name="_Toc83223688"/>
      <w:r>
        <w:t xml:space="preserve">Flagship Digital Hub in Cremorne – Stakeholder </w:t>
      </w:r>
      <w:r w:rsidR="00EB63D8">
        <w:t>Background</w:t>
      </w:r>
      <w:r w:rsidR="00EB63D8">
        <w:t xml:space="preserve"> </w:t>
      </w:r>
      <w:r w:rsidR="00EB63D8">
        <w:t>P</w:t>
      </w:r>
      <w:r w:rsidR="00EB63D8">
        <w:t xml:space="preserve">ack </w:t>
      </w:r>
      <w:r>
        <w:t>(</w:t>
      </w:r>
      <w:r w:rsidR="004D5C02">
        <w:t>A</w:t>
      </w:r>
      <w:r w:rsidR="004D5C02">
        <w:t xml:space="preserve">ccessible </w:t>
      </w:r>
      <w:r>
        <w:t>version)</w:t>
      </w:r>
      <w:bookmarkEnd w:id="0"/>
    </w:p>
    <w:p w14:paraId="05C3B669" w14:textId="77777777" w:rsidR="004D5C02" w:rsidRDefault="004D5C02" w:rsidP="004D5C02">
      <w:pPr>
        <w:rPr>
          <w:rFonts w:asciiTheme="majorHAnsi" w:eastAsiaTheme="majorEastAsia" w:hAnsiTheme="majorHAnsi" w:cstheme="majorBidi"/>
          <w:color w:val="2F5496" w:themeColor="accent1" w:themeShade="BF"/>
          <w:sz w:val="28"/>
          <w:szCs w:val="28"/>
        </w:rPr>
      </w:pPr>
    </w:p>
    <w:p w14:paraId="5D153E5B" w14:textId="5FBD8C7E" w:rsidR="004D5C02" w:rsidRPr="009B69F2" w:rsidRDefault="004D5C02" w:rsidP="009B69F2">
      <w:pPr>
        <w:rPr>
          <w:rFonts w:asciiTheme="majorHAnsi" w:eastAsiaTheme="majorEastAsia" w:hAnsiTheme="majorHAnsi" w:cstheme="majorBidi"/>
          <w:color w:val="2F5496" w:themeColor="accent1" w:themeShade="BF"/>
          <w:sz w:val="28"/>
          <w:szCs w:val="28"/>
        </w:rPr>
      </w:pPr>
      <w:r w:rsidRPr="009B69F2">
        <w:rPr>
          <w:rFonts w:asciiTheme="majorHAnsi" w:eastAsiaTheme="majorEastAsia" w:hAnsiTheme="majorHAnsi" w:cstheme="majorBidi"/>
          <w:color w:val="2F5496" w:themeColor="accent1" w:themeShade="BF"/>
          <w:sz w:val="28"/>
          <w:szCs w:val="28"/>
        </w:rPr>
        <w:t>September 2021</w:t>
      </w:r>
    </w:p>
    <w:sdt>
      <w:sdtPr>
        <w:rPr>
          <w:rFonts w:asciiTheme="minorHAnsi" w:eastAsiaTheme="minorHAnsi" w:hAnsiTheme="minorHAnsi" w:cstheme="minorBidi"/>
          <w:b w:val="0"/>
          <w:bCs w:val="0"/>
          <w:color w:val="auto"/>
          <w:sz w:val="24"/>
          <w:szCs w:val="24"/>
          <w:lang w:val="en-AU"/>
        </w:rPr>
        <w:id w:val="2061282644"/>
        <w:docPartObj>
          <w:docPartGallery w:val="Table of Contents"/>
          <w:docPartUnique/>
        </w:docPartObj>
      </w:sdtPr>
      <w:sdtEndPr>
        <w:rPr>
          <w:noProof/>
        </w:rPr>
      </w:sdtEndPr>
      <w:sdtContent>
        <w:p w14:paraId="72A0EF19" w14:textId="76D2DEDE" w:rsidR="006065D4" w:rsidRDefault="0009570A" w:rsidP="009B69F2">
          <w:pPr>
            <w:pStyle w:val="TOCHeading"/>
            <w:rPr>
              <w:rFonts w:eastAsiaTheme="minorEastAsia" w:cstheme="minorBidi"/>
              <w:i/>
              <w:iCs/>
              <w:noProof/>
              <w:sz w:val="22"/>
              <w:szCs w:val="22"/>
              <w:lang w:eastAsia="en-AU"/>
            </w:rPr>
          </w:pPr>
          <w:r>
            <w:t>Table of Contents</w:t>
          </w:r>
          <w:r>
            <w:rPr>
              <w:rFonts w:cstheme="minorHAnsi"/>
              <w:i/>
              <w:iCs/>
            </w:rPr>
            <w:fldChar w:fldCharType="begin"/>
          </w:r>
          <w:r>
            <w:instrText xml:space="preserve"> TOC \o "1-3" \h \z \u </w:instrText>
          </w:r>
          <w:r>
            <w:rPr>
              <w:rFonts w:cstheme="minorHAnsi"/>
              <w:i/>
              <w:iCs/>
            </w:rPr>
            <w:fldChar w:fldCharType="separate"/>
          </w:r>
        </w:p>
        <w:p w14:paraId="2301834D" w14:textId="2C286734" w:rsidR="006065D4" w:rsidRDefault="006065D4">
          <w:pPr>
            <w:pStyle w:val="TOC2"/>
            <w:tabs>
              <w:tab w:val="right" w:leader="dot" w:pos="9016"/>
            </w:tabs>
            <w:rPr>
              <w:rFonts w:eastAsiaTheme="minorEastAsia" w:cstheme="minorBidi"/>
              <w:b w:val="0"/>
              <w:bCs w:val="0"/>
              <w:noProof/>
              <w:lang w:eastAsia="en-AU"/>
            </w:rPr>
          </w:pPr>
          <w:hyperlink w:anchor="_Toc83223689" w:history="1">
            <w:r w:rsidRPr="00794D29">
              <w:rPr>
                <w:rStyle w:val="Hyperlink"/>
                <w:noProof/>
              </w:rPr>
              <w:t>Slide 1: Introduction</w:t>
            </w:r>
            <w:r>
              <w:rPr>
                <w:noProof/>
                <w:webHidden/>
              </w:rPr>
              <w:tab/>
            </w:r>
            <w:r>
              <w:rPr>
                <w:noProof/>
                <w:webHidden/>
              </w:rPr>
              <w:fldChar w:fldCharType="begin"/>
            </w:r>
            <w:r>
              <w:rPr>
                <w:noProof/>
                <w:webHidden/>
              </w:rPr>
              <w:instrText xml:space="preserve"> PAGEREF _Toc83223689 \h </w:instrText>
            </w:r>
            <w:r>
              <w:rPr>
                <w:noProof/>
                <w:webHidden/>
              </w:rPr>
            </w:r>
            <w:r>
              <w:rPr>
                <w:noProof/>
                <w:webHidden/>
              </w:rPr>
              <w:fldChar w:fldCharType="separate"/>
            </w:r>
            <w:r>
              <w:rPr>
                <w:noProof/>
                <w:webHidden/>
              </w:rPr>
              <w:t>1</w:t>
            </w:r>
            <w:r>
              <w:rPr>
                <w:noProof/>
                <w:webHidden/>
              </w:rPr>
              <w:fldChar w:fldCharType="end"/>
            </w:r>
          </w:hyperlink>
        </w:p>
        <w:p w14:paraId="0C16E623" w14:textId="100D6262" w:rsidR="006065D4" w:rsidRDefault="006065D4">
          <w:pPr>
            <w:pStyle w:val="TOC2"/>
            <w:tabs>
              <w:tab w:val="right" w:leader="dot" w:pos="9016"/>
            </w:tabs>
            <w:rPr>
              <w:rFonts w:eastAsiaTheme="minorEastAsia" w:cstheme="minorBidi"/>
              <w:b w:val="0"/>
              <w:bCs w:val="0"/>
              <w:noProof/>
              <w:lang w:eastAsia="en-AU"/>
            </w:rPr>
          </w:pPr>
          <w:hyperlink w:anchor="_Toc83223690" w:history="1">
            <w:r w:rsidRPr="00794D29">
              <w:rPr>
                <w:rStyle w:val="Hyperlink"/>
                <w:noProof/>
              </w:rPr>
              <w:t>Slide 2: Consultation Agenda</w:t>
            </w:r>
            <w:r>
              <w:rPr>
                <w:noProof/>
                <w:webHidden/>
              </w:rPr>
              <w:tab/>
            </w:r>
            <w:r>
              <w:rPr>
                <w:noProof/>
                <w:webHidden/>
              </w:rPr>
              <w:fldChar w:fldCharType="begin"/>
            </w:r>
            <w:r>
              <w:rPr>
                <w:noProof/>
                <w:webHidden/>
              </w:rPr>
              <w:instrText xml:space="preserve"> PAGEREF _Toc83223690 \h </w:instrText>
            </w:r>
            <w:r>
              <w:rPr>
                <w:noProof/>
                <w:webHidden/>
              </w:rPr>
            </w:r>
            <w:r>
              <w:rPr>
                <w:noProof/>
                <w:webHidden/>
              </w:rPr>
              <w:fldChar w:fldCharType="separate"/>
            </w:r>
            <w:r>
              <w:rPr>
                <w:noProof/>
                <w:webHidden/>
              </w:rPr>
              <w:t>2</w:t>
            </w:r>
            <w:r>
              <w:rPr>
                <w:noProof/>
                <w:webHidden/>
              </w:rPr>
              <w:fldChar w:fldCharType="end"/>
            </w:r>
          </w:hyperlink>
        </w:p>
        <w:p w14:paraId="658772ED" w14:textId="21726E7C" w:rsidR="006065D4" w:rsidRDefault="006065D4">
          <w:pPr>
            <w:pStyle w:val="TOC2"/>
            <w:tabs>
              <w:tab w:val="right" w:leader="dot" w:pos="9016"/>
            </w:tabs>
            <w:rPr>
              <w:rFonts w:eastAsiaTheme="minorEastAsia" w:cstheme="minorBidi"/>
              <w:b w:val="0"/>
              <w:bCs w:val="0"/>
              <w:noProof/>
              <w:lang w:eastAsia="en-AU"/>
            </w:rPr>
          </w:pPr>
          <w:hyperlink w:anchor="_Toc83223691" w:history="1">
            <w:r w:rsidRPr="00794D29">
              <w:rPr>
                <w:rStyle w:val="Hyperlink"/>
                <w:noProof/>
              </w:rPr>
              <w:t>Slide 3: The Victorian Government has committed to establish a Flagship Digital Hub at Cremorne</w:t>
            </w:r>
            <w:r>
              <w:rPr>
                <w:noProof/>
                <w:webHidden/>
              </w:rPr>
              <w:tab/>
            </w:r>
            <w:r>
              <w:rPr>
                <w:noProof/>
                <w:webHidden/>
              </w:rPr>
              <w:fldChar w:fldCharType="begin"/>
            </w:r>
            <w:r>
              <w:rPr>
                <w:noProof/>
                <w:webHidden/>
              </w:rPr>
              <w:instrText xml:space="preserve"> PAGEREF _Toc83223691 \h </w:instrText>
            </w:r>
            <w:r>
              <w:rPr>
                <w:noProof/>
                <w:webHidden/>
              </w:rPr>
            </w:r>
            <w:r>
              <w:rPr>
                <w:noProof/>
                <w:webHidden/>
              </w:rPr>
              <w:fldChar w:fldCharType="separate"/>
            </w:r>
            <w:r>
              <w:rPr>
                <w:noProof/>
                <w:webHidden/>
              </w:rPr>
              <w:t>2</w:t>
            </w:r>
            <w:r>
              <w:rPr>
                <w:noProof/>
                <w:webHidden/>
              </w:rPr>
              <w:fldChar w:fldCharType="end"/>
            </w:r>
          </w:hyperlink>
        </w:p>
        <w:p w14:paraId="1850E05E" w14:textId="432D7533" w:rsidR="006065D4" w:rsidRDefault="006065D4">
          <w:pPr>
            <w:pStyle w:val="TOC2"/>
            <w:tabs>
              <w:tab w:val="right" w:leader="dot" w:pos="9016"/>
            </w:tabs>
            <w:rPr>
              <w:rFonts w:eastAsiaTheme="minorEastAsia" w:cstheme="minorBidi"/>
              <w:b w:val="0"/>
              <w:bCs w:val="0"/>
              <w:noProof/>
              <w:lang w:eastAsia="en-AU"/>
            </w:rPr>
          </w:pPr>
          <w:hyperlink w:anchor="_Toc83223692" w:history="1">
            <w:r w:rsidRPr="00794D29">
              <w:rPr>
                <w:rStyle w:val="Hyperlink"/>
                <w:noProof/>
              </w:rPr>
              <w:t>Slide 4: Government investment is responding to the changing global landscape for high-tech innovation and entrepreneurship</w:t>
            </w:r>
            <w:r>
              <w:rPr>
                <w:noProof/>
                <w:webHidden/>
              </w:rPr>
              <w:tab/>
            </w:r>
            <w:r>
              <w:rPr>
                <w:noProof/>
                <w:webHidden/>
              </w:rPr>
              <w:fldChar w:fldCharType="begin"/>
            </w:r>
            <w:r>
              <w:rPr>
                <w:noProof/>
                <w:webHidden/>
              </w:rPr>
              <w:instrText xml:space="preserve"> PAGEREF _Toc83223692 \h </w:instrText>
            </w:r>
            <w:r>
              <w:rPr>
                <w:noProof/>
                <w:webHidden/>
              </w:rPr>
            </w:r>
            <w:r>
              <w:rPr>
                <w:noProof/>
                <w:webHidden/>
              </w:rPr>
              <w:fldChar w:fldCharType="separate"/>
            </w:r>
            <w:r>
              <w:rPr>
                <w:noProof/>
                <w:webHidden/>
              </w:rPr>
              <w:t>3</w:t>
            </w:r>
            <w:r>
              <w:rPr>
                <w:noProof/>
                <w:webHidden/>
              </w:rPr>
              <w:fldChar w:fldCharType="end"/>
            </w:r>
          </w:hyperlink>
        </w:p>
        <w:p w14:paraId="71BC29B2" w14:textId="2DC1E978" w:rsidR="006065D4" w:rsidRDefault="006065D4">
          <w:pPr>
            <w:pStyle w:val="TOC2"/>
            <w:tabs>
              <w:tab w:val="right" w:leader="dot" w:pos="9016"/>
            </w:tabs>
            <w:rPr>
              <w:rFonts w:eastAsiaTheme="minorEastAsia" w:cstheme="minorBidi"/>
              <w:b w:val="0"/>
              <w:bCs w:val="0"/>
              <w:noProof/>
              <w:lang w:eastAsia="en-AU"/>
            </w:rPr>
          </w:pPr>
          <w:hyperlink w:anchor="_Toc83223693" w:history="1">
            <w:r w:rsidRPr="00794D29">
              <w:rPr>
                <w:rStyle w:val="Hyperlink"/>
                <w:noProof/>
              </w:rPr>
              <w:t>Slide 5: Cremorne is emerging as one of Australia’s leading technology precincts and a serious contender as a global high-tech cluster</w:t>
            </w:r>
            <w:r>
              <w:rPr>
                <w:noProof/>
                <w:webHidden/>
              </w:rPr>
              <w:tab/>
            </w:r>
            <w:r>
              <w:rPr>
                <w:noProof/>
                <w:webHidden/>
              </w:rPr>
              <w:fldChar w:fldCharType="begin"/>
            </w:r>
            <w:r>
              <w:rPr>
                <w:noProof/>
                <w:webHidden/>
              </w:rPr>
              <w:instrText xml:space="preserve"> PAGEREF _Toc83223693 \h </w:instrText>
            </w:r>
            <w:r>
              <w:rPr>
                <w:noProof/>
                <w:webHidden/>
              </w:rPr>
            </w:r>
            <w:r>
              <w:rPr>
                <w:noProof/>
                <w:webHidden/>
              </w:rPr>
              <w:fldChar w:fldCharType="separate"/>
            </w:r>
            <w:r>
              <w:rPr>
                <w:noProof/>
                <w:webHidden/>
              </w:rPr>
              <w:t>3</w:t>
            </w:r>
            <w:r>
              <w:rPr>
                <w:noProof/>
                <w:webHidden/>
              </w:rPr>
              <w:fldChar w:fldCharType="end"/>
            </w:r>
          </w:hyperlink>
        </w:p>
        <w:p w14:paraId="5A9890AB" w14:textId="725C6FF2" w:rsidR="006065D4" w:rsidRDefault="006065D4">
          <w:pPr>
            <w:pStyle w:val="TOC2"/>
            <w:tabs>
              <w:tab w:val="right" w:leader="dot" w:pos="9016"/>
            </w:tabs>
            <w:rPr>
              <w:rFonts w:eastAsiaTheme="minorEastAsia" w:cstheme="minorBidi"/>
              <w:b w:val="0"/>
              <w:bCs w:val="0"/>
              <w:noProof/>
              <w:lang w:eastAsia="en-AU"/>
            </w:rPr>
          </w:pPr>
          <w:hyperlink w:anchor="_Toc83223694" w:history="1">
            <w:r w:rsidRPr="00794D29">
              <w:rPr>
                <w:rStyle w:val="Hyperlink"/>
                <w:noProof/>
              </w:rPr>
              <w:t>Slide 6: The Digital Hub will contribute to key directions set out in the Cremorne Place Implementation Plan</w:t>
            </w:r>
            <w:r>
              <w:rPr>
                <w:noProof/>
                <w:webHidden/>
              </w:rPr>
              <w:tab/>
            </w:r>
            <w:r>
              <w:rPr>
                <w:noProof/>
                <w:webHidden/>
              </w:rPr>
              <w:fldChar w:fldCharType="begin"/>
            </w:r>
            <w:r>
              <w:rPr>
                <w:noProof/>
                <w:webHidden/>
              </w:rPr>
              <w:instrText xml:space="preserve"> PAGEREF _Toc83223694 \h </w:instrText>
            </w:r>
            <w:r>
              <w:rPr>
                <w:noProof/>
                <w:webHidden/>
              </w:rPr>
            </w:r>
            <w:r>
              <w:rPr>
                <w:noProof/>
                <w:webHidden/>
              </w:rPr>
              <w:fldChar w:fldCharType="separate"/>
            </w:r>
            <w:r>
              <w:rPr>
                <w:noProof/>
                <w:webHidden/>
              </w:rPr>
              <w:t>4</w:t>
            </w:r>
            <w:r>
              <w:rPr>
                <w:noProof/>
                <w:webHidden/>
              </w:rPr>
              <w:fldChar w:fldCharType="end"/>
            </w:r>
          </w:hyperlink>
        </w:p>
        <w:p w14:paraId="29F2C577" w14:textId="4E5BE417" w:rsidR="006065D4" w:rsidRDefault="006065D4">
          <w:pPr>
            <w:pStyle w:val="TOC2"/>
            <w:tabs>
              <w:tab w:val="right" w:leader="dot" w:pos="9016"/>
            </w:tabs>
            <w:rPr>
              <w:rFonts w:eastAsiaTheme="minorEastAsia" w:cstheme="minorBidi"/>
              <w:b w:val="0"/>
              <w:bCs w:val="0"/>
              <w:noProof/>
              <w:lang w:eastAsia="en-AU"/>
            </w:rPr>
          </w:pPr>
          <w:hyperlink w:anchor="_Toc83223695" w:history="1">
            <w:r w:rsidRPr="00794D29">
              <w:rPr>
                <w:rStyle w:val="Hyperlink"/>
                <w:noProof/>
              </w:rPr>
              <w:t>Slide 7: Governments around the world are pursuing a variety of catalytic Hub models to improve the performance of high-potential clusters</w:t>
            </w:r>
            <w:r>
              <w:rPr>
                <w:noProof/>
                <w:webHidden/>
              </w:rPr>
              <w:tab/>
            </w:r>
            <w:r>
              <w:rPr>
                <w:noProof/>
                <w:webHidden/>
              </w:rPr>
              <w:fldChar w:fldCharType="begin"/>
            </w:r>
            <w:r>
              <w:rPr>
                <w:noProof/>
                <w:webHidden/>
              </w:rPr>
              <w:instrText xml:space="preserve"> PAGEREF _Toc83223695 \h </w:instrText>
            </w:r>
            <w:r>
              <w:rPr>
                <w:noProof/>
                <w:webHidden/>
              </w:rPr>
            </w:r>
            <w:r>
              <w:rPr>
                <w:noProof/>
                <w:webHidden/>
              </w:rPr>
              <w:fldChar w:fldCharType="separate"/>
            </w:r>
            <w:r>
              <w:rPr>
                <w:noProof/>
                <w:webHidden/>
              </w:rPr>
              <w:t>5</w:t>
            </w:r>
            <w:r>
              <w:rPr>
                <w:noProof/>
                <w:webHidden/>
              </w:rPr>
              <w:fldChar w:fldCharType="end"/>
            </w:r>
          </w:hyperlink>
        </w:p>
        <w:p w14:paraId="618E3BCC" w14:textId="00DD5909" w:rsidR="006065D4" w:rsidRDefault="006065D4">
          <w:pPr>
            <w:pStyle w:val="TOC2"/>
            <w:tabs>
              <w:tab w:val="right" w:leader="dot" w:pos="9016"/>
            </w:tabs>
            <w:rPr>
              <w:rFonts w:eastAsiaTheme="minorEastAsia" w:cstheme="minorBidi"/>
              <w:b w:val="0"/>
              <w:bCs w:val="0"/>
              <w:noProof/>
              <w:lang w:eastAsia="en-AU"/>
            </w:rPr>
          </w:pPr>
          <w:hyperlink w:anchor="_Toc83223696" w:history="1">
            <w:r w:rsidRPr="00794D29">
              <w:rPr>
                <w:rStyle w:val="Hyperlink"/>
                <w:noProof/>
              </w:rPr>
              <w:t>Slide 8: Other jurisdictions have addressed similar challenges through a Hub model</w:t>
            </w:r>
            <w:r>
              <w:rPr>
                <w:noProof/>
                <w:webHidden/>
              </w:rPr>
              <w:tab/>
            </w:r>
            <w:r>
              <w:rPr>
                <w:noProof/>
                <w:webHidden/>
              </w:rPr>
              <w:fldChar w:fldCharType="begin"/>
            </w:r>
            <w:r>
              <w:rPr>
                <w:noProof/>
                <w:webHidden/>
              </w:rPr>
              <w:instrText xml:space="preserve"> PAGEREF _Toc83223696 \h </w:instrText>
            </w:r>
            <w:r>
              <w:rPr>
                <w:noProof/>
                <w:webHidden/>
              </w:rPr>
            </w:r>
            <w:r>
              <w:rPr>
                <w:noProof/>
                <w:webHidden/>
              </w:rPr>
              <w:fldChar w:fldCharType="separate"/>
            </w:r>
            <w:r>
              <w:rPr>
                <w:noProof/>
                <w:webHidden/>
              </w:rPr>
              <w:t>5</w:t>
            </w:r>
            <w:r>
              <w:rPr>
                <w:noProof/>
                <w:webHidden/>
              </w:rPr>
              <w:fldChar w:fldCharType="end"/>
            </w:r>
          </w:hyperlink>
        </w:p>
        <w:p w14:paraId="2898EB96" w14:textId="74F9628B" w:rsidR="006065D4" w:rsidRDefault="006065D4">
          <w:pPr>
            <w:pStyle w:val="TOC2"/>
            <w:tabs>
              <w:tab w:val="right" w:leader="dot" w:pos="9016"/>
            </w:tabs>
            <w:rPr>
              <w:rFonts w:eastAsiaTheme="minorEastAsia" w:cstheme="minorBidi"/>
              <w:b w:val="0"/>
              <w:bCs w:val="0"/>
              <w:noProof/>
              <w:lang w:eastAsia="en-AU"/>
            </w:rPr>
          </w:pPr>
          <w:hyperlink w:anchor="_Toc83223697" w:history="1">
            <w:r w:rsidRPr="00794D29">
              <w:rPr>
                <w:rStyle w:val="Hyperlink"/>
                <w:noProof/>
              </w:rPr>
              <w:t>Slide 9: The Hub will be a key driver and central coordination point for Cremorne’s transformation into a world-class technology precinct</w:t>
            </w:r>
            <w:r>
              <w:rPr>
                <w:noProof/>
                <w:webHidden/>
              </w:rPr>
              <w:tab/>
            </w:r>
            <w:r>
              <w:rPr>
                <w:noProof/>
                <w:webHidden/>
              </w:rPr>
              <w:fldChar w:fldCharType="begin"/>
            </w:r>
            <w:r>
              <w:rPr>
                <w:noProof/>
                <w:webHidden/>
              </w:rPr>
              <w:instrText xml:space="preserve"> PAGEREF _Toc83223697 \h </w:instrText>
            </w:r>
            <w:r>
              <w:rPr>
                <w:noProof/>
                <w:webHidden/>
              </w:rPr>
            </w:r>
            <w:r>
              <w:rPr>
                <w:noProof/>
                <w:webHidden/>
              </w:rPr>
              <w:fldChar w:fldCharType="separate"/>
            </w:r>
            <w:r>
              <w:rPr>
                <w:noProof/>
                <w:webHidden/>
              </w:rPr>
              <w:t>6</w:t>
            </w:r>
            <w:r>
              <w:rPr>
                <w:noProof/>
                <w:webHidden/>
              </w:rPr>
              <w:fldChar w:fldCharType="end"/>
            </w:r>
          </w:hyperlink>
        </w:p>
        <w:p w14:paraId="0D92913E" w14:textId="1EA62FAC" w:rsidR="006065D4" w:rsidRDefault="006065D4">
          <w:pPr>
            <w:pStyle w:val="TOC2"/>
            <w:tabs>
              <w:tab w:val="right" w:leader="dot" w:pos="9016"/>
            </w:tabs>
            <w:rPr>
              <w:rFonts w:eastAsiaTheme="minorEastAsia" w:cstheme="minorBidi"/>
              <w:b w:val="0"/>
              <w:bCs w:val="0"/>
              <w:noProof/>
              <w:lang w:eastAsia="en-AU"/>
            </w:rPr>
          </w:pPr>
          <w:hyperlink w:anchor="_Toc83223698" w:history="1">
            <w:r w:rsidRPr="00794D29">
              <w:rPr>
                <w:rStyle w:val="Hyperlink"/>
                <w:noProof/>
              </w:rPr>
              <w:t>Slide 10: The outcomes and benefits the Hub will deliver for Victoria</w:t>
            </w:r>
            <w:r>
              <w:rPr>
                <w:noProof/>
                <w:webHidden/>
              </w:rPr>
              <w:tab/>
            </w:r>
            <w:r>
              <w:rPr>
                <w:noProof/>
                <w:webHidden/>
              </w:rPr>
              <w:fldChar w:fldCharType="begin"/>
            </w:r>
            <w:r>
              <w:rPr>
                <w:noProof/>
                <w:webHidden/>
              </w:rPr>
              <w:instrText xml:space="preserve"> PAGEREF _Toc83223698 \h </w:instrText>
            </w:r>
            <w:r>
              <w:rPr>
                <w:noProof/>
                <w:webHidden/>
              </w:rPr>
            </w:r>
            <w:r>
              <w:rPr>
                <w:noProof/>
                <w:webHidden/>
              </w:rPr>
              <w:fldChar w:fldCharType="separate"/>
            </w:r>
            <w:r>
              <w:rPr>
                <w:noProof/>
                <w:webHidden/>
              </w:rPr>
              <w:t>7</w:t>
            </w:r>
            <w:r>
              <w:rPr>
                <w:noProof/>
                <w:webHidden/>
              </w:rPr>
              <w:fldChar w:fldCharType="end"/>
            </w:r>
          </w:hyperlink>
        </w:p>
        <w:p w14:paraId="4ADAB065" w14:textId="5E857CD0" w:rsidR="006065D4" w:rsidRDefault="006065D4">
          <w:pPr>
            <w:pStyle w:val="TOC2"/>
            <w:tabs>
              <w:tab w:val="right" w:leader="dot" w:pos="9016"/>
            </w:tabs>
            <w:rPr>
              <w:rFonts w:eastAsiaTheme="minorEastAsia" w:cstheme="minorBidi"/>
              <w:b w:val="0"/>
              <w:bCs w:val="0"/>
              <w:noProof/>
              <w:lang w:eastAsia="en-AU"/>
            </w:rPr>
          </w:pPr>
          <w:hyperlink w:anchor="_Toc83223699" w:history="1">
            <w:r w:rsidRPr="00794D29">
              <w:rPr>
                <w:rStyle w:val="Hyperlink"/>
                <w:noProof/>
              </w:rPr>
              <w:t>Slide 11: Hub proposals will be evaluated in relation to the following parameters</w:t>
            </w:r>
            <w:r>
              <w:rPr>
                <w:noProof/>
                <w:webHidden/>
              </w:rPr>
              <w:tab/>
            </w:r>
            <w:r>
              <w:rPr>
                <w:noProof/>
                <w:webHidden/>
              </w:rPr>
              <w:fldChar w:fldCharType="begin"/>
            </w:r>
            <w:r>
              <w:rPr>
                <w:noProof/>
                <w:webHidden/>
              </w:rPr>
              <w:instrText xml:space="preserve"> PAGEREF _Toc83223699 \h </w:instrText>
            </w:r>
            <w:r>
              <w:rPr>
                <w:noProof/>
                <w:webHidden/>
              </w:rPr>
            </w:r>
            <w:r>
              <w:rPr>
                <w:noProof/>
                <w:webHidden/>
              </w:rPr>
              <w:fldChar w:fldCharType="separate"/>
            </w:r>
            <w:r>
              <w:rPr>
                <w:noProof/>
                <w:webHidden/>
              </w:rPr>
              <w:t>7</w:t>
            </w:r>
            <w:r>
              <w:rPr>
                <w:noProof/>
                <w:webHidden/>
              </w:rPr>
              <w:fldChar w:fldCharType="end"/>
            </w:r>
          </w:hyperlink>
        </w:p>
        <w:p w14:paraId="42ADE75C" w14:textId="262FC8D0" w:rsidR="006065D4" w:rsidRDefault="006065D4">
          <w:pPr>
            <w:pStyle w:val="TOC2"/>
            <w:tabs>
              <w:tab w:val="right" w:leader="dot" w:pos="9016"/>
            </w:tabs>
            <w:rPr>
              <w:rFonts w:eastAsiaTheme="minorEastAsia" w:cstheme="minorBidi"/>
              <w:b w:val="0"/>
              <w:bCs w:val="0"/>
              <w:noProof/>
              <w:lang w:eastAsia="en-AU"/>
            </w:rPr>
          </w:pPr>
          <w:hyperlink w:anchor="_Toc83223700" w:history="1">
            <w:r w:rsidRPr="00794D29">
              <w:rPr>
                <w:rStyle w:val="Hyperlink"/>
                <w:noProof/>
              </w:rPr>
              <w:t>Slide 12: The Process of Engagement</w:t>
            </w:r>
            <w:r>
              <w:rPr>
                <w:noProof/>
                <w:webHidden/>
              </w:rPr>
              <w:tab/>
            </w:r>
            <w:r>
              <w:rPr>
                <w:noProof/>
                <w:webHidden/>
              </w:rPr>
              <w:fldChar w:fldCharType="begin"/>
            </w:r>
            <w:r>
              <w:rPr>
                <w:noProof/>
                <w:webHidden/>
              </w:rPr>
              <w:instrText xml:space="preserve"> PAGEREF _Toc83223700 \h </w:instrText>
            </w:r>
            <w:r>
              <w:rPr>
                <w:noProof/>
                <w:webHidden/>
              </w:rPr>
            </w:r>
            <w:r>
              <w:rPr>
                <w:noProof/>
                <w:webHidden/>
              </w:rPr>
              <w:fldChar w:fldCharType="separate"/>
            </w:r>
            <w:r>
              <w:rPr>
                <w:noProof/>
                <w:webHidden/>
              </w:rPr>
              <w:t>8</w:t>
            </w:r>
            <w:r>
              <w:rPr>
                <w:noProof/>
                <w:webHidden/>
              </w:rPr>
              <w:fldChar w:fldCharType="end"/>
            </w:r>
          </w:hyperlink>
        </w:p>
        <w:p w14:paraId="24919801" w14:textId="6B1A1F30" w:rsidR="006065D4" w:rsidRDefault="006065D4">
          <w:pPr>
            <w:pStyle w:val="TOC2"/>
            <w:tabs>
              <w:tab w:val="right" w:leader="dot" w:pos="9016"/>
            </w:tabs>
            <w:rPr>
              <w:rFonts w:eastAsiaTheme="minorEastAsia" w:cstheme="minorBidi"/>
              <w:b w:val="0"/>
              <w:bCs w:val="0"/>
              <w:noProof/>
              <w:lang w:eastAsia="en-AU"/>
            </w:rPr>
          </w:pPr>
          <w:hyperlink w:anchor="_Toc83223701" w:history="1">
            <w:r w:rsidRPr="00794D29">
              <w:rPr>
                <w:rStyle w:val="Hyperlink"/>
                <w:noProof/>
              </w:rPr>
              <w:t>Slide 13: Proposals will be evaluated against the criteria below</w:t>
            </w:r>
            <w:r>
              <w:rPr>
                <w:noProof/>
                <w:webHidden/>
              </w:rPr>
              <w:tab/>
            </w:r>
            <w:r>
              <w:rPr>
                <w:noProof/>
                <w:webHidden/>
              </w:rPr>
              <w:fldChar w:fldCharType="begin"/>
            </w:r>
            <w:r>
              <w:rPr>
                <w:noProof/>
                <w:webHidden/>
              </w:rPr>
              <w:instrText xml:space="preserve"> PAGEREF _Toc83223701 \h </w:instrText>
            </w:r>
            <w:r>
              <w:rPr>
                <w:noProof/>
                <w:webHidden/>
              </w:rPr>
            </w:r>
            <w:r>
              <w:rPr>
                <w:noProof/>
                <w:webHidden/>
              </w:rPr>
              <w:fldChar w:fldCharType="separate"/>
            </w:r>
            <w:r>
              <w:rPr>
                <w:noProof/>
                <w:webHidden/>
              </w:rPr>
              <w:t>9</w:t>
            </w:r>
            <w:r>
              <w:rPr>
                <w:noProof/>
                <w:webHidden/>
              </w:rPr>
              <w:fldChar w:fldCharType="end"/>
            </w:r>
          </w:hyperlink>
        </w:p>
        <w:p w14:paraId="00812134" w14:textId="3F5B56E9" w:rsidR="006065D4" w:rsidRDefault="006065D4">
          <w:pPr>
            <w:pStyle w:val="TOC2"/>
            <w:tabs>
              <w:tab w:val="right" w:leader="dot" w:pos="9016"/>
            </w:tabs>
            <w:rPr>
              <w:rFonts w:eastAsiaTheme="minorEastAsia" w:cstheme="minorBidi"/>
              <w:b w:val="0"/>
              <w:bCs w:val="0"/>
              <w:noProof/>
              <w:lang w:eastAsia="en-AU"/>
            </w:rPr>
          </w:pPr>
          <w:hyperlink w:anchor="_Toc83223702" w:history="1">
            <w:r w:rsidRPr="00794D29">
              <w:rPr>
                <w:rStyle w:val="Hyperlink"/>
                <w:noProof/>
              </w:rPr>
              <w:t>Slide 14: Conclusion</w:t>
            </w:r>
            <w:r>
              <w:rPr>
                <w:noProof/>
                <w:webHidden/>
              </w:rPr>
              <w:tab/>
            </w:r>
            <w:r>
              <w:rPr>
                <w:noProof/>
                <w:webHidden/>
              </w:rPr>
              <w:fldChar w:fldCharType="begin"/>
            </w:r>
            <w:r>
              <w:rPr>
                <w:noProof/>
                <w:webHidden/>
              </w:rPr>
              <w:instrText xml:space="preserve"> PAGEREF _Toc83223702 \h </w:instrText>
            </w:r>
            <w:r>
              <w:rPr>
                <w:noProof/>
                <w:webHidden/>
              </w:rPr>
            </w:r>
            <w:r>
              <w:rPr>
                <w:noProof/>
                <w:webHidden/>
              </w:rPr>
              <w:fldChar w:fldCharType="separate"/>
            </w:r>
            <w:r>
              <w:rPr>
                <w:noProof/>
                <w:webHidden/>
              </w:rPr>
              <w:t>10</w:t>
            </w:r>
            <w:r>
              <w:rPr>
                <w:noProof/>
                <w:webHidden/>
              </w:rPr>
              <w:fldChar w:fldCharType="end"/>
            </w:r>
          </w:hyperlink>
        </w:p>
        <w:p w14:paraId="2150689D" w14:textId="16F53203" w:rsidR="0009570A" w:rsidRDefault="0009570A">
          <w:r>
            <w:rPr>
              <w:b/>
              <w:bCs/>
              <w:noProof/>
            </w:rPr>
            <w:fldChar w:fldCharType="end"/>
          </w:r>
        </w:p>
      </w:sdtContent>
    </w:sdt>
    <w:p w14:paraId="4DD6F581" w14:textId="77777777" w:rsidR="0009570A" w:rsidRPr="0009570A" w:rsidRDefault="0009570A" w:rsidP="0009570A"/>
    <w:p w14:paraId="5170A898" w14:textId="6A00B7F7" w:rsidR="0009570A" w:rsidRDefault="0009570A" w:rsidP="0009570A"/>
    <w:p w14:paraId="389E7C63" w14:textId="3316ACE5" w:rsidR="0009570A" w:rsidRDefault="0009570A" w:rsidP="0009570A"/>
    <w:p w14:paraId="07F3993F" w14:textId="274AC760" w:rsidR="0009570A" w:rsidRDefault="0009570A" w:rsidP="0009570A"/>
    <w:p w14:paraId="7ACF7E45" w14:textId="052C1974" w:rsidR="0009570A" w:rsidRDefault="0009570A" w:rsidP="0009570A"/>
    <w:p w14:paraId="07D91856" w14:textId="2E8760A1" w:rsidR="0009570A" w:rsidRDefault="0009570A" w:rsidP="0009570A"/>
    <w:p w14:paraId="1A92BB9C" w14:textId="0A340F37" w:rsidR="0009570A" w:rsidRDefault="0009570A" w:rsidP="0009570A"/>
    <w:p w14:paraId="0A3865A9" w14:textId="30A0AC1C" w:rsidR="0009570A" w:rsidRDefault="0009570A" w:rsidP="0009570A"/>
    <w:p w14:paraId="1EF76BFD" w14:textId="14F69D22" w:rsidR="0009570A" w:rsidRDefault="0009570A" w:rsidP="0009570A"/>
    <w:p w14:paraId="53F6DB1F" w14:textId="40410FD3" w:rsidR="0009570A" w:rsidRDefault="0009570A" w:rsidP="0009570A"/>
    <w:p w14:paraId="1B08EA25" w14:textId="400B54C6" w:rsidR="0009570A" w:rsidRDefault="0009570A" w:rsidP="0009570A"/>
    <w:p w14:paraId="58F57B80" w14:textId="77777777" w:rsidR="0009570A" w:rsidRDefault="0009570A" w:rsidP="0009570A">
      <w:pPr>
        <w:pStyle w:val="Heading2"/>
      </w:pPr>
    </w:p>
    <w:p w14:paraId="62D82C81" w14:textId="0A0E12D7" w:rsidR="004B0853" w:rsidRPr="0009570A" w:rsidRDefault="002C151C" w:rsidP="0009570A">
      <w:pPr>
        <w:pStyle w:val="Heading2"/>
      </w:pPr>
      <w:bookmarkStart w:id="1" w:name="_Toc83223689"/>
      <w:r w:rsidRPr="0009570A">
        <w:t xml:space="preserve">Slide 1: </w:t>
      </w:r>
      <w:r w:rsidR="0009570A">
        <w:t>Introduction</w:t>
      </w:r>
      <w:bookmarkEnd w:id="1"/>
    </w:p>
    <w:p w14:paraId="19F0ACCA" w14:textId="77777777" w:rsidR="002C151C" w:rsidRDefault="002C151C"/>
    <w:p w14:paraId="6747CDA8" w14:textId="25B6F828" w:rsidR="00FA077A" w:rsidRDefault="002C151C">
      <w:r>
        <w:t>[Vision: Melbourne skyline above sports precinct.]</w:t>
      </w:r>
    </w:p>
    <w:p w14:paraId="56817778" w14:textId="77777777" w:rsidR="002C151C" w:rsidRDefault="002C151C"/>
    <w:p w14:paraId="3CB0A8D6" w14:textId="42901799" w:rsidR="00FA077A" w:rsidRDefault="00FA077A" w:rsidP="00FA077A">
      <w:r>
        <w:t xml:space="preserve">Text: </w:t>
      </w:r>
      <w:r w:rsidRPr="00FA077A">
        <w:t>Flagship Digital Hub in Cremorne Stakeholder Background Pack September 2021</w:t>
      </w:r>
      <w:r>
        <w:t xml:space="preserve">. Organised by the Victorian State Government’s Department of Jobs Precinct and Regions (DJPR). </w:t>
      </w:r>
    </w:p>
    <w:p w14:paraId="4FD34BCC" w14:textId="780FA267" w:rsidR="00FA077A" w:rsidRDefault="00FA077A" w:rsidP="00FA077A"/>
    <w:p w14:paraId="0AD64CB2" w14:textId="7ADCF1B3" w:rsidR="00FA077A" w:rsidRDefault="002C151C" w:rsidP="0009570A">
      <w:pPr>
        <w:pStyle w:val="Heading2"/>
      </w:pPr>
      <w:bookmarkStart w:id="2" w:name="_Toc83223690"/>
      <w:r>
        <w:t xml:space="preserve">Slide 2: </w:t>
      </w:r>
      <w:r w:rsidRPr="00FA077A">
        <w:t>Consultation Agenda</w:t>
      </w:r>
      <w:bookmarkEnd w:id="2"/>
    </w:p>
    <w:p w14:paraId="09451AB3" w14:textId="3B1DFF19" w:rsidR="00FA077A" w:rsidRDefault="00FA077A" w:rsidP="00FA077A"/>
    <w:p w14:paraId="08D03328" w14:textId="0931639B" w:rsidR="00FA077A" w:rsidRDefault="00FA077A" w:rsidP="00FA077A">
      <w:r>
        <w:t xml:space="preserve">Text: </w:t>
      </w:r>
      <w:r w:rsidR="002C151C" w:rsidRPr="00FA077A">
        <w:t>Consultation Agenda</w:t>
      </w:r>
    </w:p>
    <w:p w14:paraId="3F063159" w14:textId="6BA00496" w:rsidR="00FA077A" w:rsidRDefault="00FA077A" w:rsidP="00FA077A"/>
    <w:p w14:paraId="74DCE5DA" w14:textId="4D8BC606" w:rsidR="00FA077A" w:rsidRDefault="00FA077A" w:rsidP="00FA077A">
      <w:r>
        <w:t>Agenda items, Owners and Timing</w:t>
      </w:r>
    </w:p>
    <w:p w14:paraId="625D3849" w14:textId="7D6030E2" w:rsidR="00FA077A" w:rsidRDefault="00FA077A" w:rsidP="00FA077A">
      <w:pPr>
        <w:pStyle w:val="ListParagraph"/>
        <w:numPr>
          <w:ilvl w:val="0"/>
          <w:numId w:val="2"/>
        </w:numPr>
      </w:pPr>
      <w:r w:rsidRPr="00FA077A">
        <w:t>Introductions</w:t>
      </w:r>
      <w:r>
        <w:t xml:space="preserve">; </w:t>
      </w:r>
      <w:r w:rsidRPr="00FA077A">
        <w:t>PwC, DJPR and stakeholders</w:t>
      </w:r>
      <w:r>
        <w:t xml:space="preserve"> (</w:t>
      </w:r>
      <w:r w:rsidRPr="00FA077A">
        <w:t>5 minutes</w:t>
      </w:r>
      <w:r>
        <w:t>).</w:t>
      </w:r>
    </w:p>
    <w:p w14:paraId="5EDE9DEE" w14:textId="10D906A0" w:rsidR="00FA077A" w:rsidRDefault="00FA077A" w:rsidP="00FA077A">
      <w:pPr>
        <w:pStyle w:val="ListParagraph"/>
        <w:numPr>
          <w:ilvl w:val="0"/>
          <w:numId w:val="2"/>
        </w:numPr>
      </w:pPr>
      <w:r w:rsidRPr="00FA077A">
        <w:t>Outline of the Project</w:t>
      </w:r>
      <w:r>
        <w:t xml:space="preserve">: </w:t>
      </w:r>
      <w:r w:rsidRPr="00FA077A">
        <w:t>Background and purpose of the Project, Vision and outcomes of the Hub, Overseas Hub models; PwC</w:t>
      </w:r>
      <w:r>
        <w:t xml:space="preserve"> (</w:t>
      </w:r>
      <w:r w:rsidRPr="00FA077A">
        <w:t>5 minutes</w:t>
      </w:r>
      <w:r>
        <w:t>).</w:t>
      </w:r>
    </w:p>
    <w:p w14:paraId="70DFDFA5" w14:textId="0638B511" w:rsidR="00FA077A" w:rsidRDefault="00FA077A" w:rsidP="00FA077A">
      <w:pPr>
        <w:pStyle w:val="ListParagraph"/>
        <w:numPr>
          <w:ilvl w:val="0"/>
          <w:numId w:val="2"/>
        </w:numPr>
      </w:pPr>
      <w:r w:rsidRPr="00FA077A">
        <w:t xml:space="preserve">Industry Engagement approach and process: Hub’s essential and desirable parameters, </w:t>
      </w:r>
      <w:proofErr w:type="gramStart"/>
      <w:r w:rsidRPr="00FA077A">
        <w:t>What</w:t>
      </w:r>
      <w:proofErr w:type="gramEnd"/>
      <w:r w:rsidRPr="00FA077A">
        <w:t xml:space="preserve"> value Government will offer, The engagement process, Timeline; PwC, DJPR and stakeholders (20 minutes).</w:t>
      </w:r>
    </w:p>
    <w:p w14:paraId="4886FB55" w14:textId="61990C94" w:rsidR="00FA077A" w:rsidRDefault="00FA077A" w:rsidP="00FA077A">
      <w:pPr>
        <w:pStyle w:val="ListParagraph"/>
        <w:numPr>
          <w:ilvl w:val="0"/>
          <w:numId w:val="2"/>
        </w:numPr>
      </w:pPr>
      <w:r w:rsidRPr="00FA077A">
        <w:t>Stakeholder questions; Stakeholders (10 minutes).</w:t>
      </w:r>
    </w:p>
    <w:p w14:paraId="47847909" w14:textId="780D98C5" w:rsidR="00FA077A" w:rsidRDefault="00FA077A" w:rsidP="00FA077A">
      <w:pPr>
        <w:pStyle w:val="ListParagraph"/>
        <w:numPr>
          <w:ilvl w:val="0"/>
          <w:numId w:val="2"/>
        </w:numPr>
      </w:pPr>
      <w:r w:rsidRPr="00FA077A">
        <w:t>Close; PwC (5 minutes).</w:t>
      </w:r>
    </w:p>
    <w:p w14:paraId="3CAABEBE" w14:textId="2CAF02E6" w:rsidR="00FA077A" w:rsidRDefault="00FA077A" w:rsidP="00FA077A"/>
    <w:p w14:paraId="510F004E" w14:textId="297A179D" w:rsidR="00FA077A" w:rsidRDefault="0009570A" w:rsidP="0009570A">
      <w:pPr>
        <w:pStyle w:val="Heading2"/>
      </w:pPr>
      <w:bookmarkStart w:id="3" w:name="_Toc83223691"/>
      <w:r>
        <w:t xml:space="preserve">Slide 3: </w:t>
      </w:r>
      <w:r w:rsidRPr="00FA077A">
        <w:t>The Victorian Government has committed to establish a Flagship Digital Hub at Cremorne</w:t>
      </w:r>
      <w:bookmarkEnd w:id="3"/>
    </w:p>
    <w:p w14:paraId="5611EC5A" w14:textId="08A52199" w:rsidR="0009570A" w:rsidRDefault="0009570A" w:rsidP="00FA077A"/>
    <w:p w14:paraId="149F6377" w14:textId="137906AC" w:rsidR="0009570A" w:rsidRDefault="0009570A" w:rsidP="0009570A">
      <w:r>
        <w:t>[Vision: Digital Economy:</w:t>
      </w:r>
    </w:p>
    <w:p w14:paraId="41B79908" w14:textId="77777777" w:rsidR="0009570A" w:rsidRDefault="0009570A" w:rsidP="0009570A">
      <w:pPr>
        <w:pStyle w:val="ListParagraph"/>
        <w:numPr>
          <w:ilvl w:val="0"/>
          <w:numId w:val="5"/>
        </w:numPr>
      </w:pPr>
      <w:r w:rsidRPr="007D51B7">
        <w:t>DIGITAL INFRASTRUCTURE: Access and affordability</w:t>
      </w:r>
      <w:r>
        <w:t xml:space="preserve"> (connected to Digital Inclusion).</w:t>
      </w:r>
    </w:p>
    <w:p w14:paraId="3B76A8B7" w14:textId="77777777" w:rsidR="0009570A" w:rsidRDefault="0009570A" w:rsidP="0009570A">
      <w:pPr>
        <w:pStyle w:val="ListParagraph"/>
        <w:numPr>
          <w:ilvl w:val="0"/>
          <w:numId w:val="5"/>
        </w:numPr>
      </w:pPr>
      <w:r w:rsidRPr="007D51B7">
        <w:t>DIGITAL CAPABILITY: Individual and business capability</w:t>
      </w:r>
      <w:r>
        <w:t xml:space="preserve"> (connected to Digital Inclusion). </w:t>
      </w:r>
    </w:p>
    <w:p w14:paraId="52334208" w14:textId="4F1071F3" w:rsidR="0009570A" w:rsidRDefault="0009570A" w:rsidP="0009570A">
      <w:pPr>
        <w:pStyle w:val="ListParagraph"/>
        <w:numPr>
          <w:ilvl w:val="0"/>
          <w:numId w:val="5"/>
        </w:numPr>
      </w:pPr>
      <w:r w:rsidRPr="007D51B7">
        <w:t>DIGITAL INNOVATION: Growing ICT businesses and promoting technology adoption and innovation</w:t>
      </w:r>
      <w:r>
        <w:t>.]</w:t>
      </w:r>
    </w:p>
    <w:p w14:paraId="3434B18F" w14:textId="648C7C5C" w:rsidR="00FA077A" w:rsidRDefault="00FA077A" w:rsidP="00FA077A"/>
    <w:p w14:paraId="7C8BC536" w14:textId="602069ED" w:rsidR="00FA077A" w:rsidRDefault="00FA077A" w:rsidP="00FA077A">
      <w:r>
        <w:t xml:space="preserve">Text: </w:t>
      </w:r>
      <w:r w:rsidRPr="00FA077A">
        <w:t>The Victorian Government has committed to establish a Flagship Digital Hub at Cremorne</w:t>
      </w:r>
    </w:p>
    <w:p w14:paraId="3A526847" w14:textId="0677487C" w:rsidR="00FA077A" w:rsidRDefault="00FA077A" w:rsidP="00FA077A"/>
    <w:p w14:paraId="60CB8FAE" w14:textId="77777777" w:rsidR="00FA077A" w:rsidRDefault="00FA077A" w:rsidP="00FA077A">
      <w:pPr>
        <w:pStyle w:val="ListParagraph"/>
        <w:numPr>
          <w:ilvl w:val="0"/>
          <w:numId w:val="3"/>
        </w:numPr>
      </w:pPr>
      <w:r>
        <w:t>The Cremorne Hub will drive a significant uplift in digital capability, workforce skills and innovation across Victorian industries.</w:t>
      </w:r>
    </w:p>
    <w:p w14:paraId="678CCF78" w14:textId="1819CB1C" w:rsidR="00FA077A" w:rsidRDefault="00FA077A" w:rsidP="00FA077A">
      <w:pPr>
        <w:pStyle w:val="ListParagraph"/>
        <w:numPr>
          <w:ilvl w:val="0"/>
          <w:numId w:val="3"/>
        </w:numPr>
      </w:pPr>
      <w:r>
        <w:t xml:space="preserve">It will become a key digital infrastructure asset to Victoria, and can drive further value from wider investments in Victoria’s Digital Future Now, including: </w:t>
      </w:r>
    </w:p>
    <w:p w14:paraId="20001B3E" w14:textId="77777777" w:rsidR="00FA077A" w:rsidRDefault="00FA077A" w:rsidP="00FA077A">
      <w:pPr>
        <w:pStyle w:val="ListParagraph"/>
        <w:numPr>
          <w:ilvl w:val="0"/>
          <w:numId w:val="4"/>
        </w:numPr>
      </w:pPr>
      <w:r>
        <w:t xml:space="preserve">Digital infrastructure – Access and Affordability </w:t>
      </w:r>
    </w:p>
    <w:p w14:paraId="3F21DB89" w14:textId="77777777" w:rsidR="00FA077A" w:rsidRDefault="00FA077A" w:rsidP="00FA077A">
      <w:pPr>
        <w:pStyle w:val="ListParagraph"/>
        <w:numPr>
          <w:ilvl w:val="0"/>
          <w:numId w:val="4"/>
        </w:numPr>
      </w:pPr>
      <w:r>
        <w:t xml:space="preserve">Digital Capability – Digital Skills and Capability </w:t>
      </w:r>
    </w:p>
    <w:p w14:paraId="10EFF196" w14:textId="77777777" w:rsidR="00FA077A" w:rsidRDefault="00FA077A" w:rsidP="00FA077A">
      <w:pPr>
        <w:pStyle w:val="ListParagraph"/>
        <w:numPr>
          <w:ilvl w:val="0"/>
          <w:numId w:val="4"/>
        </w:numPr>
      </w:pPr>
      <w:r>
        <w:t xml:space="preserve">Innovation – Growth and Productivity </w:t>
      </w:r>
    </w:p>
    <w:p w14:paraId="67AA814E" w14:textId="6013C0A9" w:rsidR="00FA077A" w:rsidRDefault="00FA077A" w:rsidP="00FA077A">
      <w:pPr>
        <w:pStyle w:val="ListParagraph"/>
        <w:numPr>
          <w:ilvl w:val="0"/>
          <w:numId w:val="4"/>
        </w:numPr>
      </w:pPr>
      <w:r>
        <w:t>Launch Vic – ($40 million) and Victorian Startup Capital Fund ($61M)</w:t>
      </w:r>
    </w:p>
    <w:p w14:paraId="2924649C" w14:textId="3C7E9997" w:rsidR="00FA077A" w:rsidRDefault="00FA077A" w:rsidP="00FA077A">
      <w:pPr>
        <w:pStyle w:val="ListParagraph"/>
        <w:numPr>
          <w:ilvl w:val="0"/>
          <w:numId w:val="3"/>
        </w:numPr>
      </w:pPr>
      <w:r>
        <w:t>The Hub will support the growth of innovative technology businesses, enhance the State’s advanced technology capabilities and create new high-value jobs to meet the technology skills required by every sector in Victoria.</w:t>
      </w:r>
    </w:p>
    <w:p w14:paraId="2BD1A635" w14:textId="01732180" w:rsidR="00FA077A" w:rsidRDefault="00FA077A"/>
    <w:p w14:paraId="38D8D7EF" w14:textId="5DF22339" w:rsidR="007D51B7" w:rsidRDefault="007D51B7"/>
    <w:p w14:paraId="1830E225" w14:textId="03A20DE7" w:rsidR="007D51B7" w:rsidRDefault="0009570A" w:rsidP="0009570A">
      <w:pPr>
        <w:pStyle w:val="Heading2"/>
      </w:pPr>
      <w:bookmarkStart w:id="4" w:name="_Toc83223692"/>
      <w:r>
        <w:t xml:space="preserve">Slide 4: </w:t>
      </w:r>
      <w:r w:rsidRPr="007D51B7">
        <w:t>Government investment is responding to the changing global landscape for high-tech innovation and entrepreneurship</w:t>
      </w:r>
      <w:bookmarkEnd w:id="4"/>
    </w:p>
    <w:p w14:paraId="3734F7D0" w14:textId="5FA2AF08" w:rsidR="0009570A" w:rsidRDefault="0009570A"/>
    <w:p w14:paraId="77E3FA74" w14:textId="7AFBFF9A" w:rsidR="0009570A" w:rsidRDefault="0009570A" w:rsidP="0009570A">
      <w:r>
        <w:t>[Vision: Graph 1 - “Rise in Global Venture Capital”</w:t>
      </w:r>
    </w:p>
    <w:p w14:paraId="000C2A9B" w14:textId="253D031A" w:rsidR="0009570A" w:rsidRDefault="00794225" w:rsidP="0009570A">
      <w:pPr>
        <w:pStyle w:val="ListParagraph"/>
        <w:numPr>
          <w:ilvl w:val="0"/>
          <w:numId w:val="6"/>
        </w:numPr>
      </w:pPr>
      <w:r>
        <w:t>Left</w:t>
      </w:r>
      <w:r>
        <w:t xml:space="preserve"> </w:t>
      </w:r>
      <w:r w:rsidR="0009570A">
        <w:t xml:space="preserve">vertical axis: “Capital Invested ($B), 0-200. </w:t>
      </w:r>
    </w:p>
    <w:p w14:paraId="6DCB3687" w14:textId="30ACC19B" w:rsidR="0009570A" w:rsidRDefault="00794225" w:rsidP="0009570A">
      <w:pPr>
        <w:pStyle w:val="ListParagraph"/>
        <w:numPr>
          <w:ilvl w:val="0"/>
          <w:numId w:val="6"/>
        </w:numPr>
      </w:pPr>
      <w:r>
        <w:t>Right</w:t>
      </w:r>
      <w:r>
        <w:t xml:space="preserve"> </w:t>
      </w:r>
      <w:r w:rsidR="0009570A">
        <w:t xml:space="preserve">vertical axis: “Deals (Thousands), 0-25. </w:t>
      </w:r>
    </w:p>
    <w:p w14:paraId="27F7B80E" w14:textId="77777777" w:rsidR="0009570A" w:rsidRDefault="0009570A" w:rsidP="0009570A">
      <w:pPr>
        <w:pStyle w:val="ListParagraph"/>
        <w:numPr>
          <w:ilvl w:val="0"/>
          <w:numId w:val="6"/>
        </w:numPr>
      </w:pPr>
      <w:r>
        <w:t xml:space="preserve">Horizontal axis: “Year”, 2005-2017. </w:t>
      </w:r>
    </w:p>
    <w:p w14:paraId="1578D968" w14:textId="37B7338D" w:rsidR="00C55789" w:rsidRDefault="0009570A" w:rsidP="0009570A">
      <w:pPr>
        <w:pStyle w:val="ListParagraph"/>
        <w:numPr>
          <w:ilvl w:val="0"/>
          <w:numId w:val="6"/>
        </w:numPr>
      </w:pPr>
      <w:r>
        <w:t>Summary: The graph depicts a</w:t>
      </w:r>
      <w:r w:rsidR="00980B44">
        <w:t xml:space="preserve">n </w:t>
      </w:r>
      <w:r>
        <w:t xml:space="preserve">increase in global venture capital </w:t>
      </w:r>
      <w:r w:rsidR="00C55789">
        <w:t xml:space="preserve">invested </w:t>
      </w:r>
      <w:r w:rsidR="005E519F">
        <w:t>from</w:t>
      </w:r>
      <w:r w:rsidR="005E519F">
        <w:t xml:space="preserve"> </w:t>
      </w:r>
      <w:r>
        <w:t xml:space="preserve">2005 </w:t>
      </w:r>
      <w:r w:rsidR="00D25D50">
        <w:t>(less than $50 billion</w:t>
      </w:r>
      <w:r w:rsidR="00A6601C">
        <w:t>) to</w:t>
      </w:r>
      <w:r w:rsidR="00A6601C">
        <w:t xml:space="preserve"> </w:t>
      </w:r>
      <w:r>
        <w:t>2017</w:t>
      </w:r>
      <w:r w:rsidR="0098651F">
        <w:t xml:space="preserve"> </w:t>
      </w:r>
      <w:r w:rsidR="00C01DD2">
        <w:t>(around $20 billion)</w:t>
      </w:r>
      <w:r w:rsidR="00434139">
        <w:t xml:space="preserve">, </w:t>
      </w:r>
      <w:r w:rsidR="00C01DD2">
        <w:t xml:space="preserve">after </w:t>
      </w:r>
      <w:r w:rsidR="00434139">
        <w:t>peaking in 2015</w:t>
      </w:r>
      <w:r w:rsidR="0098651F">
        <w:t xml:space="preserve"> (more than $50 billion)</w:t>
      </w:r>
      <w:r w:rsidR="00434139">
        <w:t>.</w:t>
      </w:r>
      <w:r w:rsidR="00D051FF">
        <w:t xml:space="preserve"> </w:t>
      </w:r>
    </w:p>
    <w:p w14:paraId="655CBEA3" w14:textId="1149CD1C" w:rsidR="0009570A" w:rsidRDefault="00D54E54" w:rsidP="0009570A">
      <w:pPr>
        <w:pStyle w:val="ListParagraph"/>
        <w:numPr>
          <w:ilvl w:val="0"/>
          <w:numId w:val="6"/>
        </w:numPr>
      </w:pPr>
      <w:r>
        <w:t xml:space="preserve">The graph also shows </w:t>
      </w:r>
      <w:r w:rsidR="00C424A6">
        <w:t>an increasing trend in the number of</w:t>
      </w:r>
      <w:r w:rsidR="00B976A5">
        <w:t xml:space="preserve"> </w:t>
      </w:r>
      <w:r w:rsidR="00F35A70">
        <w:t xml:space="preserve">global </w:t>
      </w:r>
      <w:r w:rsidR="00B976A5">
        <w:t xml:space="preserve">venture capital deals </w:t>
      </w:r>
      <w:r w:rsidR="005E519F">
        <w:t>from</w:t>
      </w:r>
      <w:r w:rsidR="00B976A5">
        <w:t xml:space="preserve"> </w:t>
      </w:r>
      <w:r w:rsidR="0033721F">
        <w:t>2005 (</w:t>
      </w:r>
      <w:r w:rsidR="002B6606">
        <w:t xml:space="preserve">less than </w:t>
      </w:r>
      <w:r w:rsidR="001401FB">
        <w:t xml:space="preserve">5,000) to </w:t>
      </w:r>
      <w:r w:rsidR="00D17FE4">
        <w:t>2017 (</w:t>
      </w:r>
      <w:r w:rsidR="00F35A70">
        <w:t>more than 20,000)</w:t>
      </w:r>
      <w:r w:rsidR="0057137C">
        <w:t>.</w:t>
      </w:r>
    </w:p>
    <w:p w14:paraId="320A4CFB" w14:textId="77777777" w:rsidR="0009570A" w:rsidRDefault="0009570A" w:rsidP="0009570A">
      <w:r>
        <w:t xml:space="preserve">Graph 2 - “America’s Declining Share of Global Venture Capital Investment” </w:t>
      </w:r>
    </w:p>
    <w:p w14:paraId="503803E3" w14:textId="77777777" w:rsidR="0009570A" w:rsidRDefault="0009570A" w:rsidP="0009570A">
      <w:pPr>
        <w:pStyle w:val="ListParagraph"/>
        <w:numPr>
          <w:ilvl w:val="0"/>
          <w:numId w:val="7"/>
        </w:numPr>
      </w:pPr>
      <w:r>
        <w:t xml:space="preserve">Vertical axis: “Share (%)”, 40-100. </w:t>
      </w:r>
    </w:p>
    <w:p w14:paraId="0FF9F8FB" w14:textId="77777777" w:rsidR="0009570A" w:rsidRDefault="0009570A" w:rsidP="0009570A">
      <w:pPr>
        <w:pStyle w:val="ListParagraph"/>
        <w:numPr>
          <w:ilvl w:val="0"/>
          <w:numId w:val="7"/>
        </w:numPr>
      </w:pPr>
      <w:r>
        <w:t xml:space="preserve">Horizontal axis: “Year”, 1992-2017. </w:t>
      </w:r>
    </w:p>
    <w:p w14:paraId="7F21BF70" w14:textId="7199BFBF" w:rsidR="0009570A" w:rsidRDefault="0009570A" w:rsidP="0009570A">
      <w:pPr>
        <w:pStyle w:val="ListParagraph"/>
        <w:numPr>
          <w:ilvl w:val="0"/>
          <w:numId w:val="7"/>
        </w:numPr>
      </w:pPr>
      <w:r>
        <w:t>Summary: The graph depicts a decreas</w:t>
      </w:r>
      <w:r w:rsidR="00980B44">
        <w:t>ing trend</w:t>
      </w:r>
      <w:r>
        <w:t xml:space="preserve"> in the share of global venture capital invested in America</w:t>
      </w:r>
      <w:r w:rsidR="001C7493">
        <w:t xml:space="preserve"> </w:t>
      </w:r>
      <w:r w:rsidR="005E519F">
        <w:t>from</w:t>
      </w:r>
      <w:r w:rsidR="001C7493">
        <w:t xml:space="preserve"> 1992 </w:t>
      </w:r>
      <w:r w:rsidR="005E519F">
        <w:t>(almost 100%) to</w:t>
      </w:r>
      <w:r w:rsidR="001C7493">
        <w:t xml:space="preserve"> 2017</w:t>
      </w:r>
      <w:r w:rsidR="005E519F">
        <w:t xml:space="preserve"> (</w:t>
      </w:r>
      <w:r w:rsidR="0057137C">
        <w:t>around 50%)</w:t>
      </w:r>
      <w:r>
        <w:t>.]</w:t>
      </w:r>
    </w:p>
    <w:p w14:paraId="1B04F4AB" w14:textId="77777777" w:rsidR="0009570A" w:rsidRDefault="0009570A"/>
    <w:p w14:paraId="307D97B1" w14:textId="4F6C2C5B" w:rsidR="007D51B7" w:rsidRDefault="007D51B7">
      <w:r>
        <w:t xml:space="preserve">Text: </w:t>
      </w:r>
      <w:r w:rsidRPr="007D51B7">
        <w:t>Government investment is responding to the changing global landscape for high-tech innovation and entrepreneurship</w:t>
      </w:r>
      <w:r>
        <w:t xml:space="preserve">. </w:t>
      </w:r>
    </w:p>
    <w:p w14:paraId="03EE8D95" w14:textId="71BA3D88" w:rsidR="007D51B7" w:rsidRDefault="007D51B7"/>
    <w:p w14:paraId="0F73ACA3" w14:textId="77777777" w:rsidR="007D51B7" w:rsidRDefault="007D51B7" w:rsidP="007D51B7">
      <w:pPr>
        <w:pStyle w:val="ListParagraph"/>
        <w:numPr>
          <w:ilvl w:val="0"/>
          <w:numId w:val="3"/>
        </w:numPr>
      </w:pPr>
      <w:r>
        <w:t>Capital, talent and firms are moving away from the once dominant technology clusters in places like San Francisco, New York and Boston.</w:t>
      </w:r>
    </w:p>
    <w:p w14:paraId="63B294AC" w14:textId="77777777" w:rsidR="007D51B7" w:rsidRDefault="007D51B7" w:rsidP="007D51B7">
      <w:pPr>
        <w:pStyle w:val="ListParagraph"/>
        <w:numPr>
          <w:ilvl w:val="0"/>
          <w:numId w:val="3"/>
        </w:numPr>
      </w:pPr>
      <w:r>
        <w:t>There is a major opportunity to capitalise on these changing dynamics to develop Cremorne into a global scale, connected and competitive precinct that attracts local and global talent</w:t>
      </w:r>
    </w:p>
    <w:p w14:paraId="54FE71CF" w14:textId="77777777" w:rsidR="007D51B7" w:rsidRDefault="007D51B7" w:rsidP="007D51B7">
      <w:pPr>
        <w:pStyle w:val="ListParagraph"/>
        <w:numPr>
          <w:ilvl w:val="0"/>
          <w:numId w:val="3"/>
        </w:numPr>
      </w:pPr>
      <w:r>
        <w:t>Many countries are doing more than ever to compete on the global stage by investing in R&amp;D and technology skills development, attracting talent and capital, and bringing new world innovations to the market.</w:t>
      </w:r>
    </w:p>
    <w:p w14:paraId="23976DB9" w14:textId="2AF0B49B" w:rsidR="007D51B7" w:rsidRDefault="007D51B7" w:rsidP="007D51B7">
      <w:pPr>
        <w:pStyle w:val="ListParagraph"/>
        <w:numPr>
          <w:ilvl w:val="0"/>
          <w:numId w:val="3"/>
        </w:numPr>
      </w:pPr>
      <w:r>
        <w:t>For Victoria, this means leveraging its human capital and research base, boosting the capacity of its advanced technology sectors to innovate and grow, and helping Victorian businesses seize the opportunities of the fourth industrial revolution.</w:t>
      </w:r>
    </w:p>
    <w:p w14:paraId="3F52CA4F" w14:textId="5D2982DA" w:rsidR="00AB7B04" w:rsidRDefault="00AB7B04" w:rsidP="00AB7B04"/>
    <w:p w14:paraId="14DA484C" w14:textId="151BDE66" w:rsidR="00AB7B04" w:rsidRDefault="0009570A" w:rsidP="0009570A">
      <w:pPr>
        <w:pStyle w:val="Heading2"/>
      </w:pPr>
      <w:bookmarkStart w:id="5" w:name="_Toc83223693"/>
      <w:r>
        <w:t xml:space="preserve">Slide 5: </w:t>
      </w:r>
      <w:r w:rsidRPr="00AB7B04">
        <w:t>Cremorne is emerging as one of Australia’s leading technology precincts and a serious contender as a global high-tech cluster</w:t>
      </w:r>
      <w:bookmarkEnd w:id="5"/>
    </w:p>
    <w:p w14:paraId="43916E81" w14:textId="77777777" w:rsidR="0009570A" w:rsidRDefault="0009570A" w:rsidP="00AB7B04"/>
    <w:p w14:paraId="2E5C066A" w14:textId="0E6EAD1F" w:rsidR="007F5209" w:rsidRDefault="0009570A" w:rsidP="00AB7B04">
      <w:r w:rsidRPr="008766A5">
        <w:t>Vision: [</w:t>
      </w:r>
      <w:r w:rsidR="005A1896">
        <w:t>Graph</w:t>
      </w:r>
      <w:r w:rsidR="0007241F">
        <w:t xml:space="preserve"> 1</w:t>
      </w:r>
      <w:r w:rsidR="00613286">
        <w:t xml:space="preserve"> – “</w:t>
      </w:r>
      <w:r w:rsidR="007E0740">
        <w:t xml:space="preserve">CREMORNE IS </w:t>
      </w:r>
      <w:r w:rsidR="008D53EC">
        <w:t>VICTORIA’S FASTEST GROWING R&amp;D CLUSTER”</w:t>
      </w:r>
    </w:p>
    <w:p w14:paraId="6F62A12A" w14:textId="28EB67A5" w:rsidR="00146037" w:rsidRDefault="006649E5" w:rsidP="006649E5">
      <w:pPr>
        <w:pStyle w:val="ListParagraph"/>
        <w:numPr>
          <w:ilvl w:val="0"/>
          <w:numId w:val="28"/>
        </w:numPr>
      </w:pPr>
      <w:r>
        <w:t>Vertical axis</w:t>
      </w:r>
      <w:r w:rsidR="003F1984">
        <w:t xml:space="preserve">: “Concentration of R&amp;D Managers </w:t>
      </w:r>
      <w:r w:rsidR="00002110">
        <w:t>(Location Quot</w:t>
      </w:r>
      <w:r w:rsidR="6C5D14DB">
        <w:t>i</w:t>
      </w:r>
      <w:r w:rsidR="00002110">
        <w:t>ent)</w:t>
      </w:r>
      <w:r w:rsidR="00CF04FB">
        <w:t xml:space="preserve">”, </w:t>
      </w:r>
      <w:r w:rsidR="00146037">
        <w:t>0-8.</w:t>
      </w:r>
    </w:p>
    <w:p w14:paraId="0498BF3D" w14:textId="77777777" w:rsidR="00C36C8B" w:rsidRDefault="00146037" w:rsidP="006649E5">
      <w:pPr>
        <w:pStyle w:val="ListParagraph"/>
        <w:numPr>
          <w:ilvl w:val="0"/>
          <w:numId w:val="28"/>
        </w:numPr>
      </w:pPr>
      <w:r>
        <w:t>Horizontal axis: “</w:t>
      </w:r>
      <w:r w:rsidR="000D0233">
        <w:t xml:space="preserve">Change in share of </w:t>
      </w:r>
      <w:r w:rsidR="00403441">
        <w:t xml:space="preserve">metropolitan </w:t>
      </w:r>
      <w:r w:rsidR="00CC76D5">
        <w:t xml:space="preserve">R&amp;D Managers”, </w:t>
      </w:r>
      <w:r w:rsidR="00022926">
        <w:t>-80%</w:t>
      </w:r>
      <w:r w:rsidR="00C36C8B">
        <w:t xml:space="preserve"> - 100%.</w:t>
      </w:r>
    </w:p>
    <w:p w14:paraId="6CAEE69F" w14:textId="1EC76F61" w:rsidR="000E3FF0" w:rsidRDefault="00C36C8B" w:rsidP="009B69F2">
      <w:pPr>
        <w:pStyle w:val="ListParagraph"/>
        <w:numPr>
          <w:ilvl w:val="0"/>
          <w:numId w:val="28"/>
        </w:numPr>
      </w:pPr>
      <w:r>
        <w:t xml:space="preserve">Summary: </w:t>
      </w:r>
      <w:r w:rsidR="000E3FF0">
        <w:t xml:space="preserve">The bubble chart depicts four quadrants with the </w:t>
      </w:r>
      <w:r w:rsidR="00442173">
        <w:t>chart axes inter</w:t>
      </w:r>
      <w:r w:rsidR="009C20D0">
        <w:t>sec</w:t>
      </w:r>
      <w:r w:rsidR="00442173">
        <w:t xml:space="preserve">ting at 1 on the </w:t>
      </w:r>
      <w:r w:rsidR="00B91741">
        <w:t xml:space="preserve">vertical axis </w:t>
      </w:r>
      <w:r w:rsidR="00442173">
        <w:t>and 0 on the</w:t>
      </w:r>
      <w:r w:rsidR="005107DD">
        <w:t xml:space="preserve"> </w:t>
      </w:r>
      <w:r w:rsidR="00595A45">
        <w:t>horizontal axis</w:t>
      </w:r>
      <w:r w:rsidR="00442173">
        <w:t>.</w:t>
      </w:r>
    </w:p>
    <w:p w14:paraId="386146F0" w14:textId="54C0E4FF" w:rsidR="009C20D0" w:rsidRDefault="005A1896" w:rsidP="00B417FA">
      <w:pPr>
        <w:pStyle w:val="ListParagraph"/>
        <w:numPr>
          <w:ilvl w:val="0"/>
          <w:numId w:val="28"/>
        </w:numPr>
      </w:pPr>
      <w:r>
        <w:t xml:space="preserve">The </w:t>
      </w:r>
      <w:r w:rsidR="00D20218">
        <w:t>bubble chart</w:t>
      </w:r>
      <w:r w:rsidR="00D20218">
        <w:t xml:space="preserve"> </w:t>
      </w:r>
      <w:r>
        <w:t xml:space="preserve">depicts </w:t>
      </w:r>
      <w:proofErr w:type="gramStart"/>
      <w:r>
        <w:t xml:space="preserve">a </w:t>
      </w:r>
      <w:r w:rsidR="00DD0E22">
        <w:t>number of</w:t>
      </w:r>
      <w:proofErr w:type="gramEnd"/>
      <w:r w:rsidR="00DD0E22">
        <w:t xml:space="preserve"> spheres </w:t>
      </w:r>
      <w:r w:rsidR="006810A2">
        <w:t>that each refer</w:t>
      </w:r>
      <w:r w:rsidR="00D31275">
        <w:t xml:space="preserve"> to a </w:t>
      </w:r>
      <w:r w:rsidR="006810A2">
        <w:t>specific</w:t>
      </w:r>
      <w:r w:rsidR="006810A2">
        <w:t xml:space="preserve"> </w:t>
      </w:r>
      <w:r w:rsidR="00A4553C">
        <w:t xml:space="preserve">statistical </w:t>
      </w:r>
      <w:r w:rsidR="00594BD5">
        <w:t xml:space="preserve">geographical area </w:t>
      </w:r>
      <w:r w:rsidR="0051501F">
        <w:t xml:space="preserve">in Victoria. Spheres are included for </w:t>
      </w:r>
      <w:r w:rsidR="00C913F5">
        <w:t>Hawthorn Eas</w:t>
      </w:r>
      <w:r w:rsidR="00913DEF">
        <w:t>t, Campbellfield – Coolaroo</w:t>
      </w:r>
      <w:r w:rsidR="007534E8">
        <w:t xml:space="preserve">, Port Melbourne Industrial, </w:t>
      </w:r>
      <w:r w:rsidR="0054103E">
        <w:t xml:space="preserve">South </w:t>
      </w:r>
      <w:proofErr w:type="gramStart"/>
      <w:r w:rsidR="0054103E">
        <w:t>Yarra  West</w:t>
      </w:r>
      <w:proofErr w:type="gramEnd"/>
      <w:r w:rsidR="0054103E">
        <w:t xml:space="preserve">, </w:t>
      </w:r>
      <w:r w:rsidR="00BC6821">
        <w:t xml:space="preserve">Carlton, </w:t>
      </w:r>
      <w:r w:rsidR="00424D1B">
        <w:t xml:space="preserve">Parkville, East Melbourne, Melbourne, </w:t>
      </w:r>
      <w:r w:rsidR="00FB0794">
        <w:t xml:space="preserve">Clayton, </w:t>
      </w:r>
      <w:r w:rsidR="00E319F3">
        <w:t xml:space="preserve">Docklands, </w:t>
      </w:r>
      <w:r w:rsidR="00FB0794">
        <w:t xml:space="preserve">South Melbourne, </w:t>
      </w:r>
      <w:r w:rsidR="00E319F3">
        <w:t xml:space="preserve">Southbank, </w:t>
      </w:r>
      <w:r w:rsidR="00692592">
        <w:t xml:space="preserve">Kingsbury, Burwood, South Yarra – East </w:t>
      </w:r>
      <w:r w:rsidR="00840DF8">
        <w:t>and Richmond (Vic</w:t>
      </w:r>
      <w:r w:rsidR="00A4553C">
        <w:t xml:space="preserve">.). </w:t>
      </w:r>
    </w:p>
    <w:p w14:paraId="2D909CB8" w14:textId="640895A2" w:rsidR="006810A2" w:rsidRDefault="00A4553C" w:rsidP="00B417FA">
      <w:pPr>
        <w:pStyle w:val="ListParagraph"/>
        <w:numPr>
          <w:ilvl w:val="0"/>
          <w:numId w:val="28"/>
        </w:numPr>
      </w:pPr>
      <w:r>
        <w:t xml:space="preserve">The statistical geographical area of Richmond (Vic.) envelops Cremorne. </w:t>
      </w:r>
    </w:p>
    <w:p w14:paraId="40250FB0" w14:textId="105988E8" w:rsidR="002F783C" w:rsidRDefault="00153BAF" w:rsidP="00B417FA">
      <w:pPr>
        <w:pStyle w:val="ListParagraph"/>
        <w:numPr>
          <w:ilvl w:val="0"/>
          <w:numId w:val="28"/>
        </w:numPr>
      </w:pPr>
      <w:r>
        <w:t xml:space="preserve">The </w:t>
      </w:r>
      <w:r w:rsidR="00263FC3">
        <w:t xml:space="preserve">placement of the </w:t>
      </w:r>
      <w:r>
        <w:t xml:space="preserve">sphere for Richmond </w:t>
      </w:r>
      <w:r w:rsidR="00263FC3">
        <w:t xml:space="preserve">indicates that it </w:t>
      </w:r>
      <w:r w:rsidR="002A3A38">
        <w:t xml:space="preserve">has the highest </w:t>
      </w:r>
      <w:r w:rsidR="00616442">
        <w:t>“</w:t>
      </w:r>
      <w:r w:rsidR="00E45993">
        <w:t>Change in share of metropolitan R&amp;D Managers”</w:t>
      </w:r>
      <w:r w:rsidR="00B2466E">
        <w:t xml:space="preserve">, while its </w:t>
      </w:r>
      <w:r w:rsidR="00E478A8">
        <w:t>“Concentration of R&amp;D Managers</w:t>
      </w:r>
      <w:r w:rsidR="00E76257">
        <w:t xml:space="preserve"> (Location Quot</w:t>
      </w:r>
      <w:r w:rsidR="15CEB890">
        <w:t>i</w:t>
      </w:r>
      <w:r w:rsidR="00E76257">
        <w:t xml:space="preserve">ent)” </w:t>
      </w:r>
      <w:r w:rsidR="008C4A51">
        <w:t>is close to zero</w:t>
      </w:r>
      <w:r w:rsidR="00B2466E">
        <w:t xml:space="preserve"> – </w:t>
      </w:r>
      <w:r w:rsidR="003E5AD8">
        <w:t xml:space="preserve">which indicates that </w:t>
      </w:r>
      <w:r w:rsidR="00A27B52">
        <w:t>this</w:t>
      </w:r>
      <w:r w:rsidR="004C14B1">
        <w:t xml:space="preserve"> is</w:t>
      </w:r>
      <w:r w:rsidR="00B2466E">
        <w:t xml:space="preserve"> typical of the wider</w:t>
      </w:r>
      <w:r w:rsidR="004C14B1">
        <w:t xml:space="preserve"> areas </w:t>
      </w:r>
      <w:r w:rsidR="002F783C">
        <w:t>illustrated on the map</w:t>
      </w:r>
      <w:r w:rsidR="00B2466E">
        <w:t xml:space="preserve"> </w:t>
      </w:r>
      <w:r w:rsidR="008C4A51">
        <w:t xml:space="preserve">. </w:t>
      </w:r>
    </w:p>
    <w:p w14:paraId="6D31E2E4" w14:textId="52090C2E" w:rsidR="00B417FA" w:rsidRDefault="007151D5" w:rsidP="00B417FA">
      <w:pPr>
        <w:pStyle w:val="ListParagraph"/>
        <w:numPr>
          <w:ilvl w:val="0"/>
          <w:numId w:val="28"/>
        </w:numPr>
      </w:pPr>
      <w:r>
        <w:t xml:space="preserve">There is a pull-out box connected to the sphere for Richmond which </w:t>
      </w:r>
      <w:r w:rsidR="003F3F49">
        <w:t>include the text: “</w:t>
      </w:r>
      <w:r w:rsidR="00870BCA">
        <w:t>R&amp;D activity nearly doubled in the five years to 2016”.</w:t>
      </w:r>
      <w:r w:rsidR="00B417FA">
        <w:t>]</w:t>
      </w:r>
    </w:p>
    <w:p w14:paraId="0A15F500" w14:textId="0764BC32" w:rsidR="00AB7B04" w:rsidRDefault="00AB7B04" w:rsidP="00AB7B04"/>
    <w:p w14:paraId="746656DD" w14:textId="1E3FCC2E" w:rsidR="00AB7B04" w:rsidRDefault="00AB7B04" w:rsidP="00AB7B04">
      <w:r>
        <w:t xml:space="preserve">Text: </w:t>
      </w:r>
      <w:r w:rsidRPr="00AB7B04">
        <w:t>Cremorne is emerging as one of Australia’s leading technology precincts and a serious contender as a global high-tech cluster</w:t>
      </w:r>
      <w:r>
        <w:t xml:space="preserve">. </w:t>
      </w:r>
    </w:p>
    <w:p w14:paraId="134911B7" w14:textId="753952A6" w:rsidR="00AB7B04" w:rsidRDefault="00AB7B04" w:rsidP="00AB7B04"/>
    <w:p w14:paraId="41DCACA1" w14:textId="55E5EEAB" w:rsidR="00AB7B04" w:rsidRDefault="00AB7B04" w:rsidP="00AB7B04">
      <w:pPr>
        <w:pStyle w:val="ListParagraph"/>
        <w:numPr>
          <w:ilvl w:val="0"/>
          <w:numId w:val="8"/>
        </w:numPr>
      </w:pPr>
      <w:r>
        <w:t>A dense pocket of economic activity with more than 2,000 residents, 700 businesses and 10,000 workers (47% female) contributing almost $</w:t>
      </w:r>
      <w:r w:rsidR="00E77A90">
        <w:t>4</w:t>
      </w:r>
      <w:r w:rsidR="00E77A90">
        <w:t xml:space="preserve"> </w:t>
      </w:r>
      <w:r>
        <w:t>billion to Victoria’s economy in 2019.</w:t>
      </w:r>
    </w:p>
    <w:p w14:paraId="49D78311" w14:textId="6E4E7495" w:rsidR="00AB7B04" w:rsidRDefault="00AB7B04" w:rsidP="00AB7B04">
      <w:pPr>
        <w:pStyle w:val="ListParagraph"/>
        <w:numPr>
          <w:ilvl w:val="0"/>
          <w:numId w:val="8"/>
        </w:numPr>
      </w:pPr>
      <w:r>
        <w:t xml:space="preserve">One of Victoria and Australia’s newest technology precincts, with over 650 tech jobs and </w:t>
      </w:r>
      <w:r w:rsidR="00EC3E24">
        <w:t>four of Australia</w:t>
      </w:r>
      <w:r w:rsidR="00D51B8C">
        <w:t xml:space="preserve">’s leading </w:t>
      </w:r>
      <w:r>
        <w:t xml:space="preserve">tech </w:t>
      </w:r>
      <w:proofErr w:type="gramStart"/>
      <w:r w:rsidR="0D9B08A4">
        <w:t xml:space="preserve">companies </w:t>
      </w:r>
      <w:r>
        <w:t xml:space="preserve"> that</w:t>
      </w:r>
      <w:proofErr w:type="gramEnd"/>
      <w:r>
        <w:t xml:space="preserve"> have attained billion-dollar valuations </w:t>
      </w:r>
      <w:r w:rsidR="00A83CB6">
        <w:t xml:space="preserve">- </w:t>
      </w:r>
      <w:r>
        <w:t xml:space="preserve"> REA Group, MYOB, Carsales.com.au and SEEK.</w:t>
      </w:r>
    </w:p>
    <w:p w14:paraId="6BCBF033" w14:textId="77777777" w:rsidR="00AB7B04" w:rsidRDefault="00AB7B04" w:rsidP="00AB7B04">
      <w:pPr>
        <w:pStyle w:val="ListParagraph"/>
        <w:numPr>
          <w:ilvl w:val="0"/>
          <w:numId w:val="8"/>
        </w:numPr>
      </w:pPr>
      <w:r>
        <w:t>High concentration and growth of R&amp;D activity suggests that Cremorne has a clear comparative advantage in innovating sectors of the economy.</w:t>
      </w:r>
    </w:p>
    <w:p w14:paraId="33249AD9" w14:textId="0DE1A1B2" w:rsidR="00AB7B04" w:rsidRDefault="00AB7B04" w:rsidP="00AB7B04">
      <w:pPr>
        <w:pStyle w:val="ListParagraph"/>
        <w:numPr>
          <w:ilvl w:val="0"/>
          <w:numId w:val="8"/>
        </w:numPr>
      </w:pPr>
      <w:r>
        <w:t>A vibrant village feel, new sustainable development, quality public spaces, active transport options, set within narrow streets and historic industrial buildings and workers cottages.</w:t>
      </w:r>
    </w:p>
    <w:p w14:paraId="62D182BA" w14:textId="1A90F6C9" w:rsidR="00AB7B04" w:rsidRDefault="00AB7B04" w:rsidP="00AB7B04"/>
    <w:p w14:paraId="46582EFF" w14:textId="22D7950F" w:rsidR="00AB7B04" w:rsidRDefault="0009570A" w:rsidP="0009570A">
      <w:pPr>
        <w:pStyle w:val="Heading2"/>
      </w:pPr>
      <w:bookmarkStart w:id="6" w:name="_Toc83223694"/>
      <w:r>
        <w:t>Slide 6: The Digital Hub will contribute to key directions set out in the Cremorne Place Implementation Plan</w:t>
      </w:r>
      <w:bookmarkEnd w:id="6"/>
    </w:p>
    <w:p w14:paraId="713CC7CD" w14:textId="2FA834B7" w:rsidR="00AB7B04" w:rsidRDefault="00AB7B04" w:rsidP="00AB7B04"/>
    <w:p w14:paraId="5F39A678" w14:textId="13FD1920" w:rsidR="0009570A" w:rsidRDefault="0009570A" w:rsidP="0009570A">
      <w:r>
        <w:t>[Vision: Figure 1 - Key directions for Cremorne in the CPIP:</w:t>
      </w:r>
    </w:p>
    <w:p w14:paraId="41B4399D" w14:textId="77777777" w:rsidR="0009570A" w:rsidRDefault="0009570A" w:rsidP="0009570A">
      <w:r>
        <w:t>Economy and Innovation:</w:t>
      </w:r>
    </w:p>
    <w:p w14:paraId="3A1304B7" w14:textId="77777777" w:rsidR="0009570A" w:rsidRDefault="0009570A" w:rsidP="0009570A">
      <w:pPr>
        <w:pStyle w:val="ListParagraph"/>
        <w:numPr>
          <w:ilvl w:val="0"/>
          <w:numId w:val="10"/>
        </w:numPr>
      </w:pPr>
      <w:r w:rsidRPr="00612634">
        <w:t>Enterprise precinct: Grow as a sustainable major inner-metro enterprise precinct for creative and tech industries to support Melbourne’s growing enterprise economy.</w:t>
      </w:r>
    </w:p>
    <w:p w14:paraId="06A8C1AB" w14:textId="77777777" w:rsidR="0009570A" w:rsidRDefault="0009570A" w:rsidP="0009570A">
      <w:pPr>
        <w:pStyle w:val="ListParagraph"/>
        <w:numPr>
          <w:ilvl w:val="0"/>
          <w:numId w:val="10"/>
        </w:numPr>
      </w:pPr>
      <w:r w:rsidRPr="00612634">
        <w:t>Innovation anchor: Support the creation of learning accelerators and a centre for teaching and learning innovation at the Bendigo Kangan Institute site to serve as an education, training and community anchor institution for the precinct.</w:t>
      </w:r>
    </w:p>
    <w:p w14:paraId="131A60CA" w14:textId="77777777" w:rsidR="0009570A" w:rsidRDefault="0009570A" w:rsidP="0009570A">
      <w:pPr>
        <w:pStyle w:val="ListParagraph"/>
        <w:numPr>
          <w:ilvl w:val="0"/>
          <w:numId w:val="10"/>
        </w:numPr>
      </w:pPr>
      <w:r w:rsidRPr="00612634">
        <w:t>Vibrant hub: Enhance Cremorne as a vibrant and diverse hub where Melbourne’s entrepreneurs, innovators, startups, creatives and tech workers build partnerships, share knowledge, and grow together</w:t>
      </w:r>
      <w:r>
        <w:t xml:space="preserve">. </w:t>
      </w:r>
    </w:p>
    <w:p w14:paraId="75FFEA8A" w14:textId="77777777" w:rsidR="0009570A" w:rsidRDefault="0009570A" w:rsidP="0009570A">
      <w:r w:rsidRPr="00612634">
        <w:t>Transport and movement</w:t>
      </w:r>
      <w:r>
        <w:t>:</w:t>
      </w:r>
    </w:p>
    <w:p w14:paraId="75D5A312" w14:textId="77777777" w:rsidR="0009570A" w:rsidRDefault="0009570A" w:rsidP="0009570A">
      <w:pPr>
        <w:pStyle w:val="ListParagraph"/>
        <w:numPr>
          <w:ilvl w:val="0"/>
          <w:numId w:val="11"/>
        </w:numPr>
      </w:pPr>
      <w:r w:rsidRPr="00612634">
        <w:t>Streets for people: Encourage easy movement through Cremorne and its surrounds with sustainable transport options and improved access to the public transport network as a priority.</w:t>
      </w:r>
    </w:p>
    <w:p w14:paraId="1FDDDBF5" w14:textId="77777777" w:rsidR="0009570A" w:rsidRDefault="0009570A" w:rsidP="0009570A"/>
    <w:p w14:paraId="08CB1D0C" w14:textId="47167272" w:rsidR="0009570A" w:rsidRDefault="0009570A" w:rsidP="0009570A">
      <w:r>
        <w:t xml:space="preserve">Figure 2 - </w:t>
      </w:r>
      <w:r w:rsidRPr="00612634">
        <w:t>Map of the Cremorne Plan are</w:t>
      </w:r>
      <w:r>
        <w:t xml:space="preserve">a:  The Map depicts some of the companies located within the boundaries of Cremorne: Seek, Kangan, </w:t>
      </w:r>
      <w:proofErr w:type="spellStart"/>
      <w:r>
        <w:t>CarSales</w:t>
      </w:r>
      <w:proofErr w:type="spellEnd"/>
      <w:r>
        <w:t xml:space="preserve">, MYOB, </w:t>
      </w:r>
      <w:proofErr w:type="spellStart"/>
      <w:r>
        <w:t>LaunchPad</w:t>
      </w:r>
      <w:proofErr w:type="spellEnd"/>
      <w:r>
        <w:t xml:space="preserve">, Uber, </w:t>
      </w:r>
      <w:proofErr w:type="spellStart"/>
      <w:r>
        <w:t>Viatek</w:t>
      </w:r>
      <w:proofErr w:type="spellEnd"/>
      <w:r>
        <w:t xml:space="preserve">, Red Energy, E-Centric, REA Group, </w:t>
      </w:r>
      <w:proofErr w:type="spellStart"/>
      <w:r>
        <w:t>NetGet</w:t>
      </w:r>
      <w:proofErr w:type="spellEnd"/>
      <w:r>
        <w:t xml:space="preserve"> and Walt Disney. The map also depicts Richmond Station and East Richmond Station on the North-West and North-East boundaries of the suburb</w:t>
      </w:r>
      <w:proofErr w:type="gramStart"/>
      <w:r>
        <w:t>. ]</w:t>
      </w:r>
      <w:proofErr w:type="gramEnd"/>
    </w:p>
    <w:p w14:paraId="0C262D65" w14:textId="77777777" w:rsidR="0009570A" w:rsidRDefault="0009570A" w:rsidP="00AB7B04"/>
    <w:p w14:paraId="23D35FF8" w14:textId="77777777" w:rsidR="00AB7B04" w:rsidRDefault="00AB7B04" w:rsidP="00AB7B04">
      <w:r>
        <w:t xml:space="preserve">Text: The Digital Hub will contribute to key directions set out in the Cremorne Place Implementation Plan </w:t>
      </w:r>
    </w:p>
    <w:p w14:paraId="7F15704D" w14:textId="77777777" w:rsidR="00AB7B04" w:rsidRDefault="00AB7B04" w:rsidP="00AB7B04"/>
    <w:p w14:paraId="3649C90C" w14:textId="429A068C" w:rsidR="00AB7B04" w:rsidRDefault="00AB7B04" w:rsidP="00AB7B04">
      <w:r>
        <w:t>The Cremorne Place Implementation Plan (CPIP, December 2020) provides a roadmap for how Government will work with industry, education providers, local council and the broader community to support the ongoing development of Cremorne into a vibrant, world class and innovative economic precinct.</w:t>
      </w:r>
    </w:p>
    <w:p w14:paraId="498E664D" w14:textId="76F7872A" w:rsidR="00612634" w:rsidRDefault="00612634" w:rsidP="00612634"/>
    <w:p w14:paraId="11094561" w14:textId="3EBC6155" w:rsidR="00612634" w:rsidRDefault="0009570A" w:rsidP="0009570A">
      <w:pPr>
        <w:pStyle w:val="Heading2"/>
      </w:pPr>
      <w:bookmarkStart w:id="7" w:name="_Toc83223695"/>
      <w:r>
        <w:t>Slide 7: Governments around the world are pursuing a variety of catalytic Hub models to improve the performance of high-potential clusters</w:t>
      </w:r>
      <w:bookmarkEnd w:id="7"/>
    </w:p>
    <w:p w14:paraId="19563956" w14:textId="1BE2589C" w:rsidR="00612634" w:rsidRDefault="00612634" w:rsidP="00612634"/>
    <w:p w14:paraId="682AF1D7" w14:textId="6B599D96" w:rsidR="00612634" w:rsidRDefault="00612634" w:rsidP="00612634">
      <w:r>
        <w:t>Text: Governments around the world are pursuing a variety of catalytic Hub models to improve the performance of high-potential clusters.</w:t>
      </w:r>
    </w:p>
    <w:p w14:paraId="67FF7109" w14:textId="77777777" w:rsidR="00612634" w:rsidRDefault="00612634" w:rsidP="00612634"/>
    <w:p w14:paraId="7D5D7AA9" w14:textId="77777777" w:rsidR="00612634" w:rsidRDefault="00612634" w:rsidP="00612634">
      <w:pPr>
        <w:pStyle w:val="ListParagraph"/>
        <w:numPr>
          <w:ilvl w:val="0"/>
          <w:numId w:val="11"/>
        </w:numPr>
      </w:pPr>
      <w:proofErr w:type="spellStart"/>
      <w:r>
        <w:t>MaRS</w:t>
      </w:r>
      <w:proofErr w:type="spellEnd"/>
      <w:r>
        <w:t xml:space="preserve"> Toronto (Canada), The largest urban innovation hub in the world, housing more than 200 science and technology organisations across various stages of the business and innovation lifecycle.  </w:t>
      </w:r>
    </w:p>
    <w:p w14:paraId="2034AC31" w14:textId="77777777" w:rsidR="00612634" w:rsidRDefault="00612634" w:rsidP="00612634">
      <w:pPr>
        <w:pStyle w:val="ListParagraph"/>
        <w:numPr>
          <w:ilvl w:val="0"/>
          <w:numId w:val="11"/>
        </w:numPr>
      </w:pPr>
      <w:r>
        <w:t xml:space="preserve">Digital Catapult (UK), The UK's leading advanced digital innovation centre, with a remit to drive early adoption of technologies, transform the industry, and support R&amp;D collaborations to solve real-world challenges. </w:t>
      </w:r>
    </w:p>
    <w:p w14:paraId="540F5F0F" w14:textId="0637A800" w:rsidR="00612634" w:rsidRDefault="00612634" w:rsidP="00612634">
      <w:pPr>
        <w:pStyle w:val="ListParagraph"/>
        <w:numPr>
          <w:ilvl w:val="0"/>
          <w:numId w:val="11"/>
        </w:numPr>
      </w:pPr>
      <w:r>
        <w:t>High Tech Campus (NL), This campus is built around an ecosystem of 235 companies, offering five key areas of technology development including applied intelligence, and smart environments and connectivity, among others.</w:t>
      </w:r>
    </w:p>
    <w:p w14:paraId="6CBE9518" w14:textId="77777777" w:rsidR="00612634" w:rsidRDefault="00612634" w:rsidP="00612634"/>
    <w:p w14:paraId="23AE2FA0" w14:textId="3B0F55A7" w:rsidR="00612634" w:rsidRDefault="00612634" w:rsidP="00612634">
      <w:r>
        <w:t>Key characteristics and enablers:</w:t>
      </w:r>
    </w:p>
    <w:p w14:paraId="6C65C552" w14:textId="65994EB5" w:rsidR="00612634" w:rsidRDefault="00612634" w:rsidP="00612634">
      <w:pPr>
        <w:pStyle w:val="ListParagraph"/>
        <w:numPr>
          <w:ilvl w:val="0"/>
          <w:numId w:val="12"/>
        </w:numPr>
      </w:pPr>
      <w:r>
        <w:t>Focus on exploiting existing areas of strength and capability of local technology ecosystems where there are clear global market opportunities</w:t>
      </w:r>
    </w:p>
    <w:p w14:paraId="174FBD79" w14:textId="77777777" w:rsidR="00612634" w:rsidRDefault="00612634" w:rsidP="00612634">
      <w:pPr>
        <w:pStyle w:val="ListParagraph"/>
        <w:numPr>
          <w:ilvl w:val="0"/>
          <w:numId w:val="12"/>
        </w:numPr>
      </w:pPr>
      <w:r>
        <w:t>Core functions and activities designed to meet the specific needs of the ecosystem with clearly defined mission, objectives and performance measures</w:t>
      </w:r>
    </w:p>
    <w:p w14:paraId="692486F9" w14:textId="77777777" w:rsidR="00612634" w:rsidRDefault="00612634" w:rsidP="00612634">
      <w:pPr>
        <w:pStyle w:val="ListParagraph"/>
        <w:numPr>
          <w:ilvl w:val="0"/>
          <w:numId w:val="12"/>
        </w:numPr>
      </w:pPr>
      <w:r>
        <w:t>Partnership between government, industry, education and research institutions such that traditional organisational boundaries are ‘porous’</w:t>
      </w:r>
    </w:p>
    <w:p w14:paraId="395AEB41" w14:textId="77777777" w:rsidR="00612634" w:rsidRDefault="00612634" w:rsidP="00612634">
      <w:pPr>
        <w:pStyle w:val="ListParagraph"/>
        <w:numPr>
          <w:ilvl w:val="0"/>
          <w:numId w:val="12"/>
        </w:numPr>
      </w:pPr>
      <w:r>
        <w:t>Centrally located physical presence through which services, collaborations and access to R&amp;D infrastructure are provided</w:t>
      </w:r>
    </w:p>
    <w:p w14:paraId="6FFFEC8F" w14:textId="77777777" w:rsidR="00612634" w:rsidRDefault="00612634" w:rsidP="00612634">
      <w:pPr>
        <w:pStyle w:val="ListParagraph"/>
        <w:numPr>
          <w:ilvl w:val="0"/>
          <w:numId w:val="12"/>
        </w:numPr>
      </w:pPr>
      <w:r>
        <w:t>Hubs that not only provide benefits within their location, but also across the broader ecosystem</w:t>
      </w:r>
    </w:p>
    <w:p w14:paraId="482322E2" w14:textId="77777777" w:rsidR="00612634" w:rsidRDefault="00612634" w:rsidP="00612634">
      <w:pPr>
        <w:pStyle w:val="ListParagraph"/>
        <w:numPr>
          <w:ilvl w:val="0"/>
          <w:numId w:val="12"/>
        </w:numPr>
      </w:pPr>
      <w:r>
        <w:t xml:space="preserve">High-profile champions with strong networks across government and industry who </w:t>
      </w:r>
      <w:proofErr w:type="gramStart"/>
      <w:r>
        <w:t>are able to</w:t>
      </w:r>
      <w:proofErr w:type="gramEnd"/>
      <w:r>
        <w:t xml:space="preserve"> garner financial and in-kind support</w:t>
      </w:r>
    </w:p>
    <w:p w14:paraId="06FE188A" w14:textId="77777777" w:rsidR="00612634" w:rsidRDefault="00612634" w:rsidP="00612634">
      <w:pPr>
        <w:pStyle w:val="ListParagraph"/>
        <w:numPr>
          <w:ilvl w:val="0"/>
          <w:numId w:val="12"/>
        </w:numPr>
      </w:pPr>
      <w:r>
        <w:t>Mixed funding model with initial ‘seed’ capital typically provided by government before evolving to a more sustainable model over time</w:t>
      </w:r>
    </w:p>
    <w:p w14:paraId="15B6347F" w14:textId="77777777" w:rsidR="00612634" w:rsidRDefault="00612634" w:rsidP="00612634"/>
    <w:p w14:paraId="0A1C21FA" w14:textId="2EFDBEB1" w:rsidR="00612634" w:rsidRDefault="0009570A" w:rsidP="0009570A">
      <w:pPr>
        <w:pStyle w:val="Heading2"/>
      </w:pPr>
      <w:bookmarkStart w:id="8" w:name="_Toc83223696"/>
      <w:r>
        <w:t xml:space="preserve">Slide 8: </w:t>
      </w:r>
      <w:r w:rsidRPr="00612634">
        <w:t>Other jurisdictions have addressed similar challenges through a Hub model</w:t>
      </w:r>
      <w:bookmarkEnd w:id="8"/>
    </w:p>
    <w:p w14:paraId="3FC45A04" w14:textId="77777777" w:rsidR="00612634" w:rsidRDefault="00612634" w:rsidP="00612634"/>
    <w:p w14:paraId="2E95B3C0" w14:textId="294C7AF7" w:rsidR="00612634" w:rsidRDefault="00612634" w:rsidP="00612634">
      <w:r>
        <w:t xml:space="preserve">Text: </w:t>
      </w:r>
      <w:r w:rsidRPr="00612634">
        <w:t>Other jurisdictions have addressed similar challenges through a Hub model</w:t>
      </w:r>
      <w:r>
        <w:t xml:space="preserve">. </w:t>
      </w:r>
    </w:p>
    <w:p w14:paraId="76162261" w14:textId="4A31DC79" w:rsidR="00612634" w:rsidRDefault="00612634" w:rsidP="00612634"/>
    <w:p w14:paraId="75E3E3E6" w14:textId="09E22B6D" w:rsidR="00612634" w:rsidRDefault="00612634" w:rsidP="00612634">
      <w:r>
        <w:t>Challenges</w:t>
      </w:r>
      <w:r w:rsidR="00DA1C9F">
        <w:t xml:space="preserve"> followed by ‘What other Hubs have done’. </w:t>
      </w:r>
    </w:p>
    <w:p w14:paraId="34FFC44B" w14:textId="268E07A2" w:rsidR="00DA1C9F" w:rsidRDefault="00DA1C9F" w:rsidP="00DA1C9F">
      <w:pPr>
        <w:pStyle w:val="ListParagraph"/>
        <w:numPr>
          <w:ilvl w:val="0"/>
          <w:numId w:val="13"/>
        </w:numPr>
      </w:pPr>
      <w:r w:rsidRPr="00DA1C9F">
        <w:t>Lift R</w:t>
      </w:r>
      <w:r>
        <w:t xml:space="preserve">esearch </w:t>
      </w:r>
      <w:r w:rsidRPr="00DA1C9F">
        <w:t>&amp;</w:t>
      </w:r>
      <w:r>
        <w:t xml:space="preserve"> </w:t>
      </w:r>
      <w:r w:rsidRPr="00DA1C9F">
        <w:t>D</w:t>
      </w:r>
      <w:r>
        <w:t>evelopment (R&amp;D)</w:t>
      </w:r>
      <w:r w:rsidRPr="00DA1C9F">
        <w:t xml:space="preserve"> </w:t>
      </w:r>
      <w:r>
        <w:t>a</w:t>
      </w:r>
      <w:r w:rsidRPr="00DA1C9F">
        <w:t>nd B</w:t>
      </w:r>
      <w:r>
        <w:t>usiness to Business (B</w:t>
      </w:r>
      <w:r w:rsidRPr="00DA1C9F">
        <w:t>2B</w:t>
      </w:r>
      <w:r>
        <w:t>)</w:t>
      </w:r>
      <w:r w:rsidRPr="00DA1C9F">
        <w:t xml:space="preserve"> collaboration</w:t>
      </w:r>
      <w:r>
        <w:t xml:space="preserve">: </w:t>
      </w:r>
      <w:proofErr w:type="spellStart"/>
      <w:r w:rsidRPr="00DA1C9F">
        <w:t>MaRS</w:t>
      </w:r>
      <w:proofErr w:type="spellEnd"/>
      <w:r w:rsidRPr="00DA1C9F">
        <w:t xml:space="preserve"> co-located key ecosystem players on site and created an institutionally neutral setting. Digital Catapult used public R&amp;D investment and procurement as a vehicle to facilitate collaborative partnerships</w:t>
      </w:r>
      <w:r>
        <w:t>.</w:t>
      </w:r>
    </w:p>
    <w:p w14:paraId="0C474E28" w14:textId="71C28542" w:rsidR="00DA1C9F" w:rsidRDefault="00DA1C9F" w:rsidP="00DA1C9F">
      <w:pPr>
        <w:pStyle w:val="ListParagraph"/>
        <w:numPr>
          <w:ilvl w:val="0"/>
          <w:numId w:val="13"/>
        </w:numPr>
      </w:pPr>
      <w:r w:rsidRPr="00DA1C9F">
        <w:t>Create digital skills and efficient reskilling programs</w:t>
      </w:r>
      <w:r>
        <w:t xml:space="preserve">: </w:t>
      </w:r>
      <w:r w:rsidRPr="00DA1C9F">
        <w:t>Digital Catapult delivers programs that support technical and commercial skills development in AI, IoT, augmented reality, and distributed systems. Digital Industry Singapore’s Capability Transfer Programme connects foreign experts to local companies to build capabilities and upskill the workforce</w:t>
      </w:r>
      <w:r>
        <w:t xml:space="preserve">. </w:t>
      </w:r>
    </w:p>
    <w:p w14:paraId="4E7F38A0" w14:textId="6C8F4BE1" w:rsidR="00DA1C9F" w:rsidRDefault="00DA1C9F" w:rsidP="00DA1C9F">
      <w:pPr>
        <w:pStyle w:val="ListParagraph"/>
        <w:numPr>
          <w:ilvl w:val="0"/>
          <w:numId w:val="13"/>
        </w:numPr>
      </w:pPr>
      <w:r w:rsidRPr="00DA1C9F">
        <w:t>Attract local and global investment</w:t>
      </w:r>
      <w:r>
        <w:t xml:space="preserve">: </w:t>
      </w:r>
      <w:proofErr w:type="spellStart"/>
      <w:r w:rsidRPr="00DA1C9F">
        <w:t>MaRS</w:t>
      </w:r>
      <w:proofErr w:type="spellEnd"/>
      <w:r w:rsidRPr="00DA1C9F">
        <w:t xml:space="preserve"> provides a landing point for private capital to connect with local firms and its success elevated Toronto’s global brand as a science and tech hub. Digital Catapult is involved in bilateral and multilateral missions and projects to attract investment into the UK and help local firms penetrate new markets</w:t>
      </w:r>
      <w:r>
        <w:t>.</w:t>
      </w:r>
    </w:p>
    <w:p w14:paraId="505EF8AA" w14:textId="391ED35D" w:rsidR="00DA1C9F" w:rsidRDefault="00DA1C9F" w:rsidP="00DA1C9F">
      <w:pPr>
        <w:pStyle w:val="ListParagraph"/>
        <w:numPr>
          <w:ilvl w:val="0"/>
          <w:numId w:val="13"/>
        </w:numPr>
      </w:pPr>
      <w:r w:rsidRPr="00DA1C9F">
        <w:t>Encourage digital adoption by businesses</w:t>
      </w:r>
      <w:r>
        <w:t xml:space="preserve">: </w:t>
      </w:r>
      <w:r w:rsidRPr="00DA1C9F">
        <w:t>Digital Industry Singapore facilitates technical and financial support for firms adopting sophisticated productivity-enhancing technology solutions. Digital Catapult acts as a convener and translational interface between the UK’s digital sector and the wider UK economy</w:t>
      </w:r>
      <w:r>
        <w:t xml:space="preserve">. </w:t>
      </w:r>
    </w:p>
    <w:p w14:paraId="6E9F671B" w14:textId="02A8DBD5" w:rsidR="00DA1C9F" w:rsidRDefault="00DA1C9F" w:rsidP="00DA1C9F"/>
    <w:p w14:paraId="23061B93" w14:textId="7EAD6598" w:rsidR="00DA1C9F" w:rsidRDefault="0009570A" w:rsidP="0009570A">
      <w:pPr>
        <w:pStyle w:val="Heading2"/>
      </w:pPr>
      <w:bookmarkStart w:id="9" w:name="_Toc83223697"/>
      <w:r>
        <w:t xml:space="preserve">Slide 9: </w:t>
      </w:r>
      <w:r w:rsidRPr="00DA1C9F">
        <w:t>The Hub will be a key driver and central coordination point for Cremorne’s transformation into a world-class technology precinct</w:t>
      </w:r>
      <w:bookmarkEnd w:id="9"/>
    </w:p>
    <w:p w14:paraId="5D1F7F76" w14:textId="1C69CCD4" w:rsidR="0009570A" w:rsidRDefault="0009570A" w:rsidP="00DA1C9F"/>
    <w:p w14:paraId="265477C3" w14:textId="6FDE5C37" w:rsidR="0009570A" w:rsidRDefault="0009570A" w:rsidP="0009570A">
      <w:r>
        <w:t>[Vision: A map of the suburb is overlaid with stylised network diagram. At the centre of the network diagram is a node in which a lighthouse is pictured. The other nodes included are Education, Government, Investors, Research, Talent, Corporates, Scale-ups and Entrepreneurs. All nodes are connected to one another</w:t>
      </w:r>
      <w:proofErr w:type="gramStart"/>
      <w:r>
        <w:t>. ]</w:t>
      </w:r>
      <w:proofErr w:type="gramEnd"/>
    </w:p>
    <w:p w14:paraId="3931B919" w14:textId="4396D08B" w:rsidR="00DA1C9F" w:rsidRDefault="00DA1C9F" w:rsidP="00DA1C9F"/>
    <w:p w14:paraId="0BCB43E2" w14:textId="40031962" w:rsidR="00DA1C9F" w:rsidRDefault="00DA1C9F" w:rsidP="00DA1C9F">
      <w:r>
        <w:t xml:space="preserve">Text: </w:t>
      </w:r>
      <w:r w:rsidRPr="00DA1C9F">
        <w:t>The Hub will be a key driver and central coordination point for Cremorne’s transformation into a world-class technology precinct</w:t>
      </w:r>
      <w:r>
        <w:t xml:space="preserve">. </w:t>
      </w:r>
    </w:p>
    <w:p w14:paraId="51F18CD5" w14:textId="6BE6573B" w:rsidR="00DA1C9F" w:rsidRDefault="00DA1C9F" w:rsidP="00DA1C9F"/>
    <w:p w14:paraId="5F6B4CF1" w14:textId="77777777" w:rsidR="00DA1C9F" w:rsidRDefault="00DA1C9F" w:rsidP="00DA1C9F">
      <w:r>
        <w:t>The Digital Hub will aim to deliver this transformation through the below principal functions and associated activities:</w:t>
      </w:r>
    </w:p>
    <w:p w14:paraId="32739CFB" w14:textId="77777777" w:rsidR="00DA1C9F" w:rsidRDefault="00DA1C9F" w:rsidP="00DA1C9F">
      <w:pPr>
        <w:pStyle w:val="ListParagraph"/>
        <w:numPr>
          <w:ilvl w:val="0"/>
          <w:numId w:val="14"/>
        </w:numPr>
      </w:pPr>
      <w:r>
        <w:t>PARTNERSHIPS with world-leading R&amp;D providers, commercial ventures and capital providers</w:t>
      </w:r>
    </w:p>
    <w:p w14:paraId="185A2473" w14:textId="77777777" w:rsidR="00DA1C9F" w:rsidRDefault="00DA1C9F" w:rsidP="00DA1C9F">
      <w:pPr>
        <w:pStyle w:val="ListParagraph"/>
        <w:numPr>
          <w:ilvl w:val="0"/>
          <w:numId w:val="14"/>
        </w:numPr>
      </w:pPr>
      <w:r>
        <w:t>TALENT AND WORKFORCE DEVELOPMENT including a focus on attracting, developing and retaining talent to assist the broader ecosystem</w:t>
      </w:r>
    </w:p>
    <w:p w14:paraId="55350C65" w14:textId="77777777" w:rsidR="00DA1C9F" w:rsidRDefault="00DA1C9F" w:rsidP="00DA1C9F">
      <w:pPr>
        <w:pStyle w:val="ListParagraph"/>
        <w:numPr>
          <w:ilvl w:val="0"/>
          <w:numId w:val="14"/>
        </w:numPr>
      </w:pPr>
      <w:r>
        <w:t>DIGITAL INCLUSION providing an area of digital and broader inclusion within the precinct, generating a network for other catalytic plays across Victoria</w:t>
      </w:r>
    </w:p>
    <w:p w14:paraId="6F295681" w14:textId="77777777" w:rsidR="00DA1C9F" w:rsidRDefault="00DA1C9F" w:rsidP="00DA1C9F">
      <w:pPr>
        <w:pStyle w:val="ListParagraph"/>
        <w:numPr>
          <w:ilvl w:val="0"/>
          <w:numId w:val="14"/>
        </w:numPr>
      </w:pPr>
      <w:r>
        <w:t>FOREIGN PORTFOLIO AND DIRECT</w:t>
      </w:r>
    </w:p>
    <w:p w14:paraId="1FE88E92" w14:textId="77777777" w:rsidR="00DA1C9F" w:rsidRDefault="00DA1C9F" w:rsidP="00DA1C9F">
      <w:pPr>
        <w:pStyle w:val="ListParagraph"/>
        <w:numPr>
          <w:ilvl w:val="0"/>
          <w:numId w:val="14"/>
        </w:numPr>
      </w:pPr>
      <w:r>
        <w:t>INVESTMENT hosting in-bound trade and investment missions and international marketing</w:t>
      </w:r>
    </w:p>
    <w:p w14:paraId="37B24CAF" w14:textId="77777777" w:rsidR="00DA1C9F" w:rsidRDefault="00DA1C9F" w:rsidP="00DA1C9F">
      <w:pPr>
        <w:pStyle w:val="ListParagraph"/>
        <w:numPr>
          <w:ilvl w:val="0"/>
          <w:numId w:val="14"/>
        </w:numPr>
      </w:pPr>
      <w:r>
        <w:t>EDUCATION AND SKILLS ACQUISITION providing industry-relevant advanced tech education (including short courses) and internships</w:t>
      </w:r>
    </w:p>
    <w:p w14:paraId="3F2F2C4B" w14:textId="06046E81" w:rsidR="00DA1C9F" w:rsidRDefault="00DA1C9F" w:rsidP="00DA1C9F">
      <w:pPr>
        <w:pStyle w:val="ListParagraph"/>
        <w:numPr>
          <w:ilvl w:val="0"/>
          <w:numId w:val="14"/>
        </w:numPr>
      </w:pPr>
      <w:r>
        <w:t>CATALYSE THE CREMORNE PRECINCT so it can become the lighthouse for Victoria's digital sector and showcase the State’s digital expertise to attract global talent, capital, businesses and education providers</w:t>
      </w:r>
    </w:p>
    <w:p w14:paraId="2E8F42CC" w14:textId="49025BAF" w:rsidR="00DA1C9F" w:rsidRDefault="00DA1C9F" w:rsidP="00DA1C9F"/>
    <w:p w14:paraId="7A841EAA" w14:textId="1B2497D7" w:rsidR="00DA1C9F" w:rsidRDefault="0009570A" w:rsidP="0009570A">
      <w:pPr>
        <w:pStyle w:val="Heading2"/>
      </w:pPr>
      <w:bookmarkStart w:id="10" w:name="_Toc83223698"/>
      <w:r>
        <w:t xml:space="preserve">Slide 10: </w:t>
      </w:r>
      <w:r w:rsidRPr="00DA1C9F">
        <w:t>The outcomes and benefits the Hub will deliver for Victoria</w:t>
      </w:r>
      <w:bookmarkEnd w:id="10"/>
    </w:p>
    <w:p w14:paraId="05D4F82B" w14:textId="56413EBF" w:rsidR="00DA1C9F" w:rsidRDefault="00DA1C9F" w:rsidP="00DA1C9F"/>
    <w:p w14:paraId="20110DE8" w14:textId="519DA171" w:rsidR="00DA1C9F" w:rsidRDefault="00DA1C9F" w:rsidP="00DA1C9F">
      <w:r>
        <w:t xml:space="preserve">Text: </w:t>
      </w:r>
      <w:r w:rsidRPr="00DA1C9F">
        <w:t>The outcomes and benefits the Hub will deliver for Victoria</w:t>
      </w:r>
      <w:r>
        <w:t>:</w:t>
      </w:r>
    </w:p>
    <w:p w14:paraId="5D8A65B5" w14:textId="216CAE57" w:rsidR="00DA1C9F" w:rsidRDefault="00DA1C9F" w:rsidP="00DA1C9F"/>
    <w:p w14:paraId="0510B8D1" w14:textId="77777777" w:rsidR="00DA1C9F" w:rsidRDefault="00DA1C9F" w:rsidP="00DA1C9F">
      <w:pPr>
        <w:pStyle w:val="ListParagraph"/>
        <w:numPr>
          <w:ilvl w:val="0"/>
          <w:numId w:val="15"/>
        </w:numPr>
      </w:pPr>
      <w:r>
        <w:t xml:space="preserve">Talent and Jobs, </w:t>
      </w:r>
      <w:proofErr w:type="gramStart"/>
      <w:r>
        <w:t>Highly</w:t>
      </w:r>
      <w:proofErr w:type="gramEnd"/>
      <w:r>
        <w:t xml:space="preserve"> skilled technology workforce and high value-add jobs. </w:t>
      </w:r>
    </w:p>
    <w:p w14:paraId="1C4F2FE9" w14:textId="77777777" w:rsidR="00DA1C9F" w:rsidRDefault="00DA1C9F" w:rsidP="00DA1C9F">
      <w:pPr>
        <w:pStyle w:val="ListParagraph"/>
        <w:numPr>
          <w:ilvl w:val="0"/>
          <w:numId w:val="15"/>
        </w:numPr>
      </w:pPr>
      <w:r>
        <w:t xml:space="preserve">Technology diffusion, Greater adoption of technology and industry capability in advanced technologies such as AI and cyber security. </w:t>
      </w:r>
    </w:p>
    <w:p w14:paraId="526DCD5B" w14:textId="77777777" w:rsidR="00DA1C9F" w:rsidRDefault="00DA1C9F" w:rsidP="00DA1C9F">
      <w:pPr>
        <w:pStyle w:val="ListParagraph"/>
        <w:numPr>
          <w:ilvl w:val="0"/>
          <w:numId w:val="15"/>
        </w:numPr>
      </w:pPr>
      <w:r>
        <w:t xml:space="preserve">Knowledge diffusion, Improved agglomeration benefits and the sharing of knowledge and services. </w:t>
      </w:r>
    </w:p>
    <w:p w14:paraId="218B1EC6" w14:textId="77777777" w:rsidR="00DA1C9F" w:rsidRDefault="00DA1C9F" w:rsidP="00DA1C9F">
      <w:pPr>
        <w:pStyle w:val="ListParagraph"/>
        <w:numPr>
          <w:ilvl w:val="0"/>
          <w:numId w:val="15"/>
        </w:numPr>
      </w:pPr>
      <w:r>
        <w:t xml:space="preserve">Digital investment, Increased investment and attraction of international experts and foreign direct investment. </w:t>
      </w:r>
    </w:p>
    <w:p w14:paraId="361FFD39" w14:textId="77777777" w:rsidR="00DA1C9F" w:rsidRDefault="00DA1C9F" w:rsidP="00DA1C9F">
      <w:pPr>
        <w:pStyle w:val="ListParagraph"/>
        <w:numPr>
          <w:ilvl w:val="0"/>
          <w:numId w:val="15"/>
        </w:numPr>
      </w:pPr>
      <w:r>
        <w:t xml:space="preserve">Global brand value, Increased visibility will enhance Victoria’s international reputation as an advanced technology leader. </w:t>
      </w:r>
    </w:p>
    <w:p w14:paraId="4D18CD3E" w14:textId="1419FA94" w:rsidR="00DA1C9F" w:rsidRDefault="00DA1C9F" w:rsidP="00DA1C9F">
      <w:pPr>
        <w:pStyle w:val="ListParagraph"/>
        <w:numPr>
          <w:ilvl w:val="0"/>
          <w:numId w:val="15"/>
        </w:numPr>
      </w:pPr>
      <w:r>
        <w:t>Connectedness and transparency, Improved connectedness and transparency amongst Victoria’s digital sector.</w:t>
      </w:r>
    </w:p>
    <w:p w14:paraId="43AEB869" w14:textId="6D52B3F5" w:rsidR="005F0E04" w:rsidRDefault="005F0E04" w:rsidP="005F0E04"/>
    <w:p w14:paraId="18CE9F30" w14:textId="68687641" w:rsidR="005F0E04" w:rsidRDefault="0009570A" w:rsidP="0009570A">
      <w:pPr>
        <w:pStyle w:val="Heading2"/>
      </w:pPr>
      <w:bookmarkStart w:id="11" w:name="_Toc83223699"/>
      <w:r>
        <w:t>Slide 11: Hub proposals will be evaluated in relation to the following parameters</w:t>
      </w:r>
      <w:bookmarkEnd w:id="11"/>
    </w:p>
    <w:p w14:paraId="595347AB" w14:textId="6AF143FC" w:rsidR="005F0E04" w:rsidRDefault="005F0E04" w:rsidP="005F0E04"/>
    <w:p w14:paraId="2C14ED58" w14:textId="77777777" w:rsidR="005F0E04" w:rsidRDefault="005F0E04" w:rsidP="005F0E04">
      <w:r>
        <w:t>Text: Hub proposals will be evaluated in relation to the following parameters.</w:t>
      </w:r>
    </w:p>
    <w:p w14:paraId="39E201EA" w14:textId="77777777" w:rsidR="005F0E04" w:rsidRDefault="005F0E04" w:rsidP="005F0E04"/>
    <w:p w14:paraId="44CA04B8" w14:textId="2E7049A6" w:rsidR="005F0E04" w:rsidRDefault="005F0E04" w:rsidP="005F0E04">
      <w:r>
        <w:t>This matrix demonstrates the parameters that are ‘ESSENTIAL’ and ‘DESIRABLE’ aspects of the Hub. Respondents are encouraged to develop innovative conceptual business models that address the following parameters in the proposals for the Hub.</w:t>
      </w:r>
    </w:p>
    <w:p w14:paraId="14D75B9D" w14:textId="24E25653" w:rsidR="005F0E04" w:rsidRDefault="005F0E04" w:rsidP="005F0E04"/>
    <w:p w14:paraId="6C8BB708" w14:textId="77777777" w:rsidR="005F0E04" w:rsidRDefault="005F0E04" w:rsidP="005F0E04">
      <w:r>
        <w:t>ACTIVITIES</w:t>
      </w:r>
    </w:p>
    <w:p w14:paraId="46F995D5" w14:textId="77777777" w:rsidR="005F0E04" w:rsidRDefault="005F0E04" w:rsidP="005F0E04">
      <w:pPr>
        <w:pStyle w:val="ListParagraph"/>
        <w:numPr>
          <w:ilvl w:val="0"/>
          <w:numId w:val="16"/>
        </w:numPr>
      </w:pPr>
      <w:r>
        <w:t xml:space="preserve">Essential: Precinct and sector networking, Research-industry collaboration, Advanced digital skills and capabilities development, Talent attraction, Promoting Cremorne and supporting its development as a key technology precinct. </w:t>
      </w:r>
    </w:p>
    <w:p w14:paraId="6FF5E3D1" w14:textId="77777777" w:rsidR="005F0E04" w:rsidRDefault="005F0E04" w:rsidP="005F0E04">
      <w:pPr>
        <w:pStyle w:val="ListParagraph"/>
        <w:numPr>
          <w:ilvl w:val="0"/>
          <w:numId w:val="16"/>
        </w:numPr>
        <w:spacing w:after="120"/>
        <w:ind w:left="714" w:hanging="357"/>
        <w:contextualSpacing w:val="0"/>
      </w:pPr>
      <w:r>
        <w:t xml:space="preserve">Desirable: </w:t>
      </w:r>
      <w:r w:rsidRPr="005E5BC6">
        <w:t>IP/commercialisation focus, Digitalisation initiatives for key sectors</w:t>
      </w:r>
      <w:r>
        <w:t xml:space="preserve">. </w:t>
      </w:r>
    </w:p>
    <w:p w14:paraId="4731C827" w14:textId="77777777" w:rsidR="005F0E04" w:rsidRDefault="005F0E04" w:rsidP="005F0E04">
      <w:r w:rsidRPr="005E5BC6">
        <w:t>ECOSYSTEM/ PRESENCE</w:t>
      </w:r>
    </w:p>
    <w:p w14:paraId="5BD86A7D" w14:textId="77777777" w:rsidR="005F0E04" w:rsidRDefault="005F0E04" w:rsidP="005F0E04">
      <w:pPr>
        <w:pStyle w:val="ListParagraph"/>
        <w:numPr>
          <w:ilvl w:val="0"/>
          <w:numId w:val="17"/>
        </w:numPr>
      </w:pPr>
      <w:r>
        <w:t xml:space="preserve">Essential: </w:t>
      </w:r>
      <w:r w:rsidRPr="005E5BC6">
        <w:t>Providing a ‘front door’ for Victoria’s digital sector, Mixture of physical and digital presence; physical and digital networking capability, Connecting the ecosystem and making technology expertise discoverable across the state</w:t>
      </w:r>
      <w:r>
        <w:t>.</w:t>
      </w:r>
    </w:p>
    <w:p w14:paraId="187A33F3" w14:textId="77777777" w:rsidR="005F0E04" w:rsidRDefault="005F0E04" w:rsidP="005F0E04">
      <w:pPr>
        <w:pStyle w:val="ListParagraph"/>
        <w:numPr>
          <w:ilvl w:val="0"/>
          <w:numId w:val="17"/>
        </w:numPr>
      </w:pPr>
      <w:r>
        <w:t xml:space="preserve">Desirable: </w:t>
      </w:r>
      <w:r w:rsidRPr="005E5BC6">
        <w:t>‘Hub and spoke’ including a centralised component with a surrounding network, Global connectivity, Open and interactive access (for a digital presence)</w:t>
      </w:r>
      <w:r>
        <w:t>.</w:t>
      </w:r>
    </w:p>
    <w:p w14:paraId="2327B264" w14:textId="77777777" w:rsidR="005F0E04" w:rsidRDefault="005F0E04" w:rsidP="005F0E04"/>
    <w:p w14:paraId="44F37A3F" w14:textId="77777777" w:rsidR="005F0E04" w:rsidRDefault="005F0E04" w:rsidP="005F0E04">
      <w:r w:rsidRPr="005E5BC6">
        <w:t>GOVERNANCE</w:t>
      </w:r>
    </w:p>
    <w:p w14:paraId="4BA5AD82" w14:textId="77777777" w:rsidR="005F0E04" w:rsidRDefault="005F0E04" w:rsidP="005F0E04">
      <w:pPr>
        <w:pStyle w:val="ListParagraph"/>
        <w:numPr>
          <w:ilvl w:val="0"/>
          <w:numId w:val="18"/>
        </w:numPr>
        <w:ind w:left="771" w:hanging="357"/>
        <w:contextualSpacing w:val="0"/>
      </w:pPr>
      <w:r>
        <w:t xml:space="preserve">Essential: </w:t>
      </w:r>
      <w:r w:rsidRPr="005E5BC6">
        <w:t>Consortium operating through a suitable legal entity, Clear mission, objectives and output/KPIs in the business plan, Strong governance experience and capability, Robust risk management approach, High standards of integrity and probity, Governance that enables participation beyond the Consortium and Cremorne</w:t>
      </w:r>
      <w:r>
        <w:t xml:space="preserve">. </w:t>
      </w:r>
    </w:p>
    <w:p w14:paraId="2DFE4046" w14:textId="77777777" w:rsidR="005F0E04" w:rsidRDefault="005F0E04" w:rsidP="005F0E04">
      <w:pPr>
        <w:pStyle w:val="ListParagraph"/>
        <w:numPr>
          <w:ilvl w:val="0"/>
          <w:numId w:val="18"/>
        </w:numPr>
      </w:pPr>
      <w:r>
        <w:t xml:space="preserve">Desirable: </w:t>
      </w:r>
      <w:r w:rsidRPr="005E5BC6">
        <w:t>Framework for social inclusion, Framework for Cremorne stakeholder engagement</w:t>
      </w:r>
      <w:r>
        <w:t xml:space="preserve">. </w:t>
      </w:r>
    </w:p>
    <w:p w14:paraId="0DF4946D" w14:textId="77777777" w:rsidR="005F0E04" w:rsidRDefault="005F0E04" w:rsidP="005F0E04"/>
    <w:p w14:paraId="7AEEC8A6" w14:textId="77777777" w:rsidR="005F0E04" w:rsidRDefault="005F0E04" w:rsidP="005F0E04">
      <w:r w:rsidRPr="005E5BC6">
        <w:t>PARTNERS</w:t>
      </w:r>
    </w:p>
    <w:p w14:paraId="35948B35" w14:textId="77777777" w:rsidR="005F0E04" w:rsidRDefault="005F0E04" w:rsidP="005F0E04">
      <w:pPr>
        <w:pStyle w:val="ListParagraph"/>
        <w:numPr>
          <w:ilvl w:val="0"/>
          <w:numId w:val="19"/>
        </w:numPr>
      </w:pPr>
      <w:r>
        <w:t xml:space="preserve">Essential: </w:t>
      </w:r>
      <w:r w:rsidRPr="005E5BC6">
        <w:t>Consortium partners have deep capability and high integrity, Partners represent industry, higher/ tertiary education, research sector, Partner roles and tasks clearly defined, agreed and reflected in the business model</w:t>
      </w:r>
      <w:r>
        <w:t>.</w:t>
      </w:r>
    </w:p>
    <w:p w14:paraId="1EAD3052" w14:textId="77777777" w:rsidR="005F0E04" w:rsidRDefault="005F0E04" w:rsidP="005F0E04">
      <w:pPr>
        <w:pStyle w:val="ListParagraph"/>
        <w:numPr>
          <w:ilvl w:val="0"/>
          <w:numId w:val="19"/>
        </w:numPr>
      </w:pPr>
      <w:r>
        <w:t xml:space="preserve">Desirable: </w:t>
      </w:r>
      <w:r w:rsidRPr="005E5BC6">
        <w:t>Cremorne stakeholders included in consortium (including NFPs), Partners with advanced skills networks</w:t>
      </w:r>
      <w:r>
        <w:t>.</w:t>
      </w:r>
    </w:p>
    <w:p w14:paraId="752378E0" w14:textId="77777777" w:rsidR="005F0E04" w:rsidRDefault="005F0E04" w:rsidP="005F0E04"/>
    <w:p w14:paraId="6CE12754" w14:textId="77777777" w:rsidR="005F0E04" w:rsidRDefault="005F0E04" w:rsidP="005F0E04">
      <w:r w:rsidRPr="005E5BC6">
        <w:t>FUNDING</w:t>
      </w:r>
    </w:p>
    <w:p w14:paraId="14AEA865" w14:textId="77777777" w:rsidR="005F0E04" w:rsidRDefault="005F0E04" w:rsidP="005F0E04">
      <w:pPr>
        <w:pStyle w:val="ListParagraph"/>
        <w:numPr>
          <w:ilvl w:val="0"/>
          <w:numId w:val="20"/>
        </w:numPr>
      </w:pPr>
      <w:r>
        <w:t xml:space="preserve">Essential: </w:t>
      </w:r>
      <w:r w:rsidRPr="005E5BC6">
        <w:t>A funding agreement with deliverables, clear accountability and a financial sustainability model, Co-funding from partners (financial and in-kind)</w:t>
      </w:r>
      <w:r>
        <w:t>.</w:t>
      </w:r>
    </w:p>
    <w:p w14:paraId="0B7EED4E" w14:textId="48454AF8" w:rsidR="005F0E04" w:rsidRDefault="005F0E04" w:rsidP="005F0E04">
      <w:pPr>
        <w:pStyle w:val="ListParagraph"/>
        <w:numPr>
          <w:ilvl w:val="0"/>
          <w:numId w:val="20"/>
        </w:numPr>
      </w:pPr>
      <w:r>
        <w:t xml:space="preserve">Desirable: </w:t>
      </w:r>
      <w:r w:rsidRPr="005E5BC6">
        <w:t xml:space="preserve">Approach to realising benefits </w:t>
      </w:r>
    </w:p>
    <w:p w14:paraId="5F8918A1" w14:textId="696D970B" w:rsidR="005F0E04" w:rsidRDefault="005F0E04" w:rsidP="005F0E04"/>
    <w:p w14:paraId="2C486D0B" w14:textId="56922CAD" w:rsidR="005F0E04" w:rsidRDefault="005F0E04" w:rsidP="005F0E04">
      <w:r w:rsidRPr="005F0E04">
        <w:t>The Victorian Government welcomes partnership based responses to the EOI that reflect a range of industry, skills and research capabilities to establish the Hub</w:t>
      </w:r>
      <w:r>
        <w:t xml:space="preserve">. </w:t>
      </w:r>
    </w:p>
    <w:p w14:paraId="40C8CF46" w14:textId="72C495E1" w:rsidR="005F0E04" w:rsidRDefault="005F0E04" w:rsidP="005F0E04"/>
    <w:p w14:paraId="7AB6D6B1" w14:textId="19CC2C16" w:rsidR="005F0E04" w:rsidRDefault="0009570A" w:rsidP="0009570A">
      <w:pPr>
        <w:pStyle w:val="Heading2"/>
      </w:pPr>
      <w:bookmarkStart w:id="12" w:name="_Toc83223700"/>
      <w:r>
        <w:t xml:space="preserve">Slide 12: </w:t>
      </w:r>
      <w:r w:rsidRPr="005F0E04">
        <w:t>The Process of Engagement</w:t>
      </w:r>
      <w:bookmarkEnd w:id="12"/>
    </w:p>
    <w:p w14:paraId="5CA17B2E" w14:textId="39FF8CB9" w:rsidR="005F0E04" w:rsidRDefault="005F0E04" w:rsidP="005F0E04"/>
    <w:p w14:paraId="1BC65619" w14:textId="66E83394" w:rsidR="005F0E04" w:rsidRDefault="0009570A" w:rsidP="005F0E04">
      <w:r>
        <w:t xml:space="preserve">Text: </w:t>
      </w:r>
      <w:r w:rsidR="005F0E04" w:rsidRPr="005F0E04">
        <w:t>The Process of Engagement</w:t>
      </w:r>
    </w:p>
    <w:p w14:paraId="6C8A397E" w14:textId="0DCC87A8" w:rsidR="005F0E04" w:rsidRDefault="005F0E04" w:rsidP="005F0E04"/>
    <w:p w14:paraId="3E4FF18A" w14:textId="7A7F3FC6" w:rsidR="005F0E04" w:rsidRDefault="005F0E04" w:rsidP="005F0E04">
      <w:r>
        <w:t>Process</w:t>
      </w:r>
    </w:p>
    <w:p w14:paraId="1BF20C48" w14:textId="504F82BF" w:rsidR="005F0E04" w:rsidRDefault="005F0E04" w:rsidP="005F0E04">
      <w:pPr>
        <w:pStyle w:val="ListParagraph"/>
        <w:numPr>
          <w:ilvl w:val="0"/>
          <w:numId w:val="21"/>
        </w:numPr>
      </w:pPr>
      <w:r>
        <w:t>The process for the Hub is being conducted over two stages</w:t>
      </w:r>
      <w:r w:rsidR="00F23505">
        <w:t xml:space="preserve">. </w:t>
      </w:r>
    </w:p>
    <w:p w14:paraId="2FCDF522" w14:textId="29D0F80F" w:rsidR="005F0E04" w:rsidRDefault="005F0E04" w:rsidP="005F0E04">
      <w:pPr>
        <w:pStyle w:val="ListParagraph"/>
        <w:numPr>
          <w:ilvl w:val="0"/>
          <w:numId w:val="21"/>
        </w:numPr>
      </w:pPr>
      <w:r>
        <w:t>Responses to the EOI that reflect a range of industry, skills and research capabilities to establish the Hub</w:t>
      </w:r>
      <w:r w:rsidR="00F23505">
        <w:t xml:space="preserve">. </w:t>
      </w:r>
    </w:p>
    <w:p w14:paraId="0B41DE10" w14:textId="451CB93B" w:rsidR="005F0E04" w:rsidRDefault="005F0E04" w:rsidP="005F0E04">
      <w:pPr>
        <w:pStyle w:val="ListParagraph"/>
        <w:numPr>
          <w:ilvl w:val="0"/>
          <w:numId w:val="21"/>
        </w:numPr>
      </w:pPr>
      <w:r>
        <w:t>EOI responses will be assessed against the evaluation criteria</w:t>
      </w:r>
      <w:r w:rsidR="00F23505">
        <w:t>.</w:t>
      </w:r>
    </w:p>
    <w:p w14:paraId="78F0D4F0" w14:textId="0C2D68DE" w:rsidR="005F0E04" w:rsidRDefault="005F0E04" w:rsidP="005F0E04">
      <w:pPr>
        <w:pStyle w:val="ListParagraph"/>
        <w:numPr>
          <w:ilvl w:val="0"/>
          <w:numId w:val="21"/>
        </w:numPr>
      </w:pPr>
      <w:r>
        <w:t>Respondents may be invited to participate in the second stage of the process</w:t>
      </w:r>
      <w:r w:rsidR="00F23505">
        <w:t>.</w:t>
      </w:r>
    </w:p>
    <w:p w14:paraId="4A26062E" w14:textId="5BB00E9C" w:rsidR="005F0E04" w:rsidRDefault="005F0E04" w:rsidP="005F0E04">
      <w:pPr>
        <w:pStyle w:val="ListParagraph"/>
        <w:numPr>
          <w:ilvl w:val="0"/>
          <w:numId w:val="21"/>
        </w:numPr>
      </w:pPr>
      <w:r>
        <w:t xml:space="preserve">Pending the outcome of the second stage, a successful Respondent will </w:t>
      </w:r>
      <w:proofErr w:type="gramStart"/>
      <w:r>
        <w:t>enter into</w:t>
      </w:r>
      <w:proofErr w:type="gramEnd"/>
      <w:r>
        <w:t xml:space="preserve"> negotiations for grant funding to establish the Hub</w:t>
      </w:r>
      <w:r w:rsidR="00F23505">
        <w:t xml:space="preserve">. </w:t>
      </w:r>
    </w:p>
    <w:p w14:paraId="4C59BBCA" w14:textId="1557B121" w:rsidR="005F0E04" w:rsidRDefault="005F0E04" w:rsidP="005F0E04">
      <w:pPr>
        <w:pStyle w:val="ListParagraph"/>
        <w:numPr>
          <w:ilvl w:val="0"/>
          <w:numId w:val="21"/>
        </w:numPr>
      </w:pPr>
      <w:r>
        <w:t>The Victorian Government review and approve business, funding and operating proposal submitted</w:t>
      </w:r>
      <w:r w:rsidR="00F23505">
        <w:t xml:space="preserve">. </w:t>
      </w:r>
    </w:p>
    <w:p w14:paraId="60330D5D" w14:textId="5BB9DD51" w:rsidR="00F23505" w:rsidRDefault="00F23505" w:rsidP="00F23505"/>
    <w:p w14:paraId="14B17290" w14:textId="77777777" w:rsidR="00F23505" w:rsidRDefault="00F23505" w:rsidP="00F23505">
      <w:r>
        <w:t>Timing</w:t>
      </w:r>
    </w:p>
    <w:p w14:paraId="7684AF16" w14:textId="77777777" w:rsidR="00F23505" w:rsidRDefault="00F23505" w:rsidP="00F23505">
      <w:pPr>
        <w:pStyle w:val="ListParagraph"/>
        <w:numPr>
          <w:ilvl w:val="0"/>
          <w:numId w:val="22"/>
        </w:numPr>
      </w:pPr>
      <w:r>
        <w:t>Conduct EOI process (September 2021)</w:t>
      </w:r>
    </w:p>
    <w:p w14:paraId="5B3DE8B6" w14:textId="77777777" w:rsidR="00F23505" w:rsidRDefault="00F23505" w:rsidP="00F23505">
      <w:pPr>
        <w:pStyle w:val="ListParagraph"/>
        <w:numPr>
          <w:ilvl w:val="0"/>
          <w:numId w:val="22"/>
        </w:numPr>
      </w:pPr>
      <w:r>
        <w:t>Evaluate submissions and respondents may be invited to participate in the next stage</w:t>
      </w:r>
    </w:p>
    <w:p w14:paraId="7115628F" w14:textId="77777777" w:rsidR="00F23505" w:rsidRDefault="00F23505" w:rsidP="00F23505">
      <w:pPr>
        <w:pStyle w:val="ListParagraph"/>
        <w:numPr>
          <w:ilvl w:val="0"/>
          <w:numId w:val="22"/>
        </w:numPr>
      </w:pPr>
      <w:r>
        <w:t>Responses sought by the Victorian Government close on 31 October 2021</w:t>
      </w:r>
    </w:p>
    <w:p w14:paraId="5C72FCFC" w14:textId="77777777" w:rsidR="00F23505" w:rsidRDefault="00F23505" w:rsidP="00F23505">
      <w:pPr>
        <w:pStyle w:val="ListParagraph"/>
        <w:numPr>
          <w:ilvl w:val="0"/>
          <w:numId w:val="22"/>
        </w:numPr>
      </w:pPr>
      <w:r>
        <w:t>Second stage of the process commences (December 2021)</w:t>
      </w:r>
    </w:p>
    <w:p w14:paraId="42604542" w14:textId="77777777" w:rsidR="00F23505" w:rsidRDefault="00F23505" w:rsidP="00F23505">
      <w:pPr>
        <w:pStyle w:val="ListParagraph"/>
        <w:numPr>
          <w:ilvl w:val="0"/>
          <w:numId w:val="22"/>
        </w:numPr>
      </w:pPr>
      <w:r>
        <w:t>Evaluate, assess and select supplier (January - February 2021)</w:t>
      </w:r>
    </w:p>
    <w:p w14:paraId="046C4991" w14:textId="44D10C97" w:rsidR="00F23505" w:rsidRDefault="00F23505" w:rsidP="00F23505">
      <w:pPr>
        <w:pStyle w:val="ListParagraph"/>
        <w:numPr>
          <w:ilvl w:val="0"/>
          <w:numId w:val="22"/>
        </w:numPr>
      </w:pPr>
      <w:r>
        <w:t>Grant negotiations and finalisation (March 2022)</w:t>
      </w:r>
    </w:p>
    <w:p w14:paraId="22DCD4F9" w14:textId="5798E73B" w:rsidR="00F23505" w:rsidRDefault="00F23505" w:rsidP="00F23505"/>
    <w:p w14:paraId="03BF340F" w14:textId="77777777" w:rsidR="00F23505" w:rsidRDefault="00F23505" w:rsidP="00F23505">
      <w:r>
        <w:t>What is Government offering to establish the Hub</w:t>
      </w:r>
    </w:p>
    <w:p w14:paraId="593CE5E9" w14:textId="77777777" w:rsidR="00F23505" w:rsidRDefault="00F23505" w:rsidP="00F23505">
      <w:pPr>
        <w:pStyle w:val="ListParagraph"/>
        <w:numPr>
          <w:ilvl w:val="0"/>
          <w:numId w:val="23"/>
        </w:numPr>
      </w:pPr>
      <w:r>
        <w:t>Seed Funding via the Victorian Government’s budget contribution</w:t>
      </w:r>
    </w:p>
    <w:p w14:paraId="104CF9E8" w14:textId="77777777" w:rsidR="00F23505" w:rsidRDefault="00F23505" w:rsidP="00F23505">
      <w:pPr>
        <w:pStyle w:val="ListParagraph"/>
        <w:numPr>
          <w:ilvl w:val="0"/>
          <w:numId w:val="23"/>
        </w:numPr>
      </w:pPr>
      <w:r>
        <w:t>Avenues to broader funding and program opportunities</w:t>
      </w:r>
    </w:p>
    <w:p w14:paraId="741C0016" w14:textId="77777777" w:rsidR="00F23505" w:rsidRDefault="00F23505" w:rsidP="00F23505">
      <w:pPr>
        <w:pStyle w:val="ListParagraph"/>
        <w:numPr>
          <w:ilvl w:val="0"/>
          <w:numId w:val="23"/>
        </w:numPr>
      </w:pPr>
      <w:r>
        <w:t>Partnership and global branding</w:t>
      </w:r>
    </w:p>
    <w:p w14:paraId="713C3EC8" w14:textId="77777777" w:rsidR="00F23505" w:rsidRDefault="00F23505" w:rsidP="00F23505">
      <w:pPr>
        <w:pStyle w:val="ListParagraph"/>
        <w:numPr>
          <w:ilvl w:val="0"/>
          <w:numId w:val="23"/>
        </w:numPr>
      </w:pPr>
      <w:r>
        <w:t>Investment in telecommunications infrastructure</w:t>
      </w:r>
    </w:p>
    <w:p w14:paraId="1FEBB8BF" w14:textId="48B22615" w:rsidR="00F23505" w:rsidRDefault="00F23505" w:rsidP="00F23505">
      <w:pPr>
        <w:pStyle w:val="ListParagraph"/>
        <w:numPr>
          <w:ilvl w:val="0"/>
          <w:numId w:val="23"/>
        </w:numPr>
      </w:pPr>
      <w:r>
        <w:t>Place-making and local amenity improvements (from CPIP)</w:t>
      </w:r>
    </w:p>
    <w:p w14:paraId="756BD555" w14:textId="78541454" w:rsidR="00F23505" w:rsidRDefault="00F23505" w:rsidP="00F23505"/>
    <w:p w14:paraId="3CEBF8ED" w14:textId="23240D28" w:rsidR="00F23505" w:rsidRDefault="0009570A" w:rsidP="0009570A">
      <w:pPr>
        <w:pStyle w:val="Heading2"/>
      </w:pPr>
      <w:bookmarkStart w:id="13" w:name="_Toc83223701"/>
      <w:r>
        <w:t>Slide 13: Proposals will be evaluated against the criteria below</w:t>
      </w:r>
      <w:bookmarkEnd w:id="13"/>
    </w:p>
    <w:p w14:paraId="16976E8C" w14:textId="4A789B91" w:rsidR="00F23505" w:rsidRDefault="00F23505" w:rsidP="00F23505"/>
    <w:p w14:paraId="43630B88" w14:textId="77777777" w:rsidR="00F23505" w:rsidRDefault="00F23505" w:rsidP="00F23505">
      <w:r>
        <w:t>Proposals will be evaluated against the criteria below</w:t>
      </w:r>
    </w:p>
    <w:p w14:paraId="49BE3440" w14:textId="77777777" w:rsidR="00F23505" w:rsidRDefault="00F23505" w:rsidP="00F23505"/>
    <w:p w14:paraId="6730B415" w14:textId="7D1AE468" w:rsidR="00F23505" w:rsidRDefault="00F23505" w:rsidP="00F23505">
      <w:r>
        <w:t>Proposed solution (conceptual business model)</w:t>
      </w:r>
    </w:p>
    <w:p w14:paraId="5279869C" w14:textId="77777777" w:rsidR="00F23505" w:rsidRDefault="00F23505" w:rsidP="00F23505">
      <w:pPr>
        <w:pStyle w:val="ListParagraph"/>
        <w:numPr>
          <w:ilvl w:val="0"/>
          <w:numId w:val="24"/>
        </w:numPr>
      </w:pPr>
      <w:r>
        <w:t>Appropriateness and robustness of the conceptual business model, considering the interdependencies between governance, funding, operating and brand strategy in managing and coordinating the activities of the Hub.</w:t>
      </w:r>
    </w:p>
    <w:p w14:paraId="1B2DE79D" w14:textId="77777777" w:rsidR="00F23505" w:rsidRDefault="00F23505" w:rsidP="00F23505">
      <w:pPr>
        <w:pStyle w:val="ListParagraph"/>
        <w:numPr>
          <w:ilvl w:val="0"/>
          <w:numId w:val="24"/>
        </w:numPr>
      </w:pPr>
      <w:r>
        <w:t>Alignment of the conceptual business model with the ‘Essential’ and 'Desirable' parameters, emphasising the extent to which the solution proposes novel innovation and maximises the digital network and influence on the broader economy.</w:t>
      </w:r>
    </w:p>
    <w:p w14:paraId="4B1B3CD0" w14:textId="0BB95BD3" w:rsidR="00F23505" w:rsidRDefault="00F23505" w:rsidP="00F23505">
      <w:pPr>
        <w:pStyle w:val="ListParagraph"/>
        <w:numPr>
          <w:ilvl w:val="0"/>
          <w:numId w:val="24"/>
        </w:numPr>
      </w:pPr>
      <w:r>
        <w:t>Evidence that the proposed solution will deliver the outcomes sought by Government with respect to:</w:t>
      </w:r>
    </w:p>
    <w:p w14:paraId="4849D7AA" w14:textId="1E392B6A" w:rsidR="00F23505" w:rsidRDefault="00F23505" w:rsidP="00F23505">
      <w:pPr>
        <w:pStyle w:val="ListParagraph"/>
        <w:numPr>
          <w:ilvl w:val="0"/>
          <w:numId w:val="25"/>
        </w:numPr>
      </w:pPr>
      <w:r>
        <w:t>Alignment with the overall Project vision and maximising industry and skills development objectives.</w:t>
      </w:r>
    </w:p>
    <w:p w14:paraId="53E36395" w14:textId="5B77CE7B" w:rsidR="00F23505" w:rsidRDefault="00F23505" w:rsidP="00F23505">
      <w:pPr>
        <w:pStyle w:val="ListParagraph"/>
        <w:numPr>
          <w:ilvl w:val="0"/>
          <w:numId w:val="25"/>
        </w:numPr>
      </w:pPr>
      <w:r>
        <w:t>Appropriateness and approach to outcomes and benefit realisation across Cremorne and the broader digital economy.</w:t>
      </w:r>
    </w:p>
    <w:p w14:paraId="55702844" w14:textId="7E674966" w:rsidR="00F23505" w:rsidRDefault="00F23505" w:rsidP="00F23505">
      <w:pPr>
        <w:pStyle w:val="ListParagraph"/>
        <w:numPr>
          <w:ilvl w:val="0"/>
          <w:numId w:val="25"/>
        </w:numPr>
      </w:pPr>
      <w:r>
        <w:t>Consideration of the Hub milestones in accordance with the Respondent’s proposed timeline.</w:t>
      </w:r>
    </w:p>
    <w:p w14:paraId="4AC58A13" w14:textId="77777777" w:rsidR="00F23505" w:rsidRDefault="00F23505" w:rsidP="00F23505">
      <w:pPr>
        <w:pStyle w:val="ListParagraph"/>
        <w:numPr>
          <w:ilvl w:val="0"/>
          <w:numId w:val="25"/>
        </w:numPr>
      </w:pPr>
      <w:r>
        <w:t>Proposed profile of strategic relationships, target markets and end users</w:t>
      </w:r>
    </w:p>
    <w:p w14:paraId="610472CF" w14:textId="47C57D5E" w:rsidR="00F23505" w:rsidRDefault="00F23505" w:rsidP="00F23505">
      <w:pPr>
        <w:pStyle w:val="ListParagraph"/>
        <w:numPr>
          <w:ilvl w:val="0"/>
          <w:numId w:val="25"/>
        </w:numPr>
      </w:pPr>
      <w:r>
        <w:t>Critical success factors and key dependencies, including engagement process with the State and key industry stakeholders.</w:t>
      </w:r>
    </w:p>
    <w:p w14:paraId="0FF4F80C" w14:textId="1243361C" w:rsidR="00F23505" w:rsidRDefault="00F23505" w:rsidP="00F23505">
      <w:pPr>
        <w:pStyle w:val="ListParagraph"/>
        <w:numPr>
          <w:ilvl w:val="0"/>
          <w:numId w:val="24"/>
        </w:numPr>
      </w:pPr>
      <w:r>
        <w:t>Appropriateness of identified risks and mitigants, uncertainties and interdependencies, that could impact the State or successful implementation of the proposed solution.</w:t>
      </w:r>
    </w:p>
    <w:p w14:paraId="377F9748" w14:textId="56B86BEC" w:rsidR="00F23505" w:rsidRDefault="00F23505" w:rsidP="00F23505"/>
    <w:p w14:paraId="5A7425BE" w14:textId="01AAD5E6" w:rsidR="00F23505" w:rsidRDefault="00F23505" w:rsidP="00F23505">
      <w:r>
        <w:t>Commercial and financial capacity</w:t>
      </w:r>
    </w:p>
    <w:p w14:paraId="34D8C85C" w14:textId="77777777" w:rsidR="00F23505" w:rsidRDefault="00F23505" w:rsidP="00F23505">
      <w:pPr>
        <w:pStyle w:val="ListParagraph"/>
        <w:numPr>
          <w:ilvl w:val="0"/>
          <w:numId w:val="26"/>
        </w:numPr>
      </w:pPr>
      <w:r>
        <w:t>Evidence that the proposed level and source of capital costs, ongoing operating costs and diverse nature of revenue streams used by the conceptual business model, will achieve financial sustainability, offer value-for-money outcomes and deliver on the State’s objectives.</w:t>
      </w:r>
    </w:p>
    <w:p w14:paraId="7B8B3F32" w14:textId="77777777" w:rsidR="00F23505" w:rsidRDefault="00F23505" w:rsidP="00F23505">
      <w:pPr>
        <w:pStyle w:val="ListParagraph"/>
        <w:numPr>
          <w:ilvl w:val="0"/>
          <w:numId w:val="26"/>
        </w:numPr>
      </w:pPr>
      <w:r>
        <w:t>Robustness of the conceptual business model and/or partnering arrangements of the Respondent, if any. DJPR may seek to make introductions between what it believes to be suitably qualified vendors to work through a proposal. The commercial negotiations and contractual arrangements of such a proposal will remain between the Respondents and DJPR will not be involved in any of these activities.</w:t>
      </w:r>
    </w:p>
    <w:p w14:paraId="28044FD6" w14:textId="77777777" w:rsidR="00F23505" w:rsidRDefault="00F23505" w:rsidP="00F23505">
      <w:pPr>
        <w:pStyle w:val="ListParagraph"/>
        <w:numPr>
          <w:ilvl w:val="0"/>
          <w:numId w:val="26"/>
        </w:numPr>
      </w:pPr>
      <w:r>
        <w:t>Evidence of the financial capacity and performance of the Respondent, or parent company or other relevant related entity/ies if the proposed contracting entity is or will be a special purpose joint venture or similar arrangement.</w:t>
      </w:r>
    </w:p>
    <w:p w14:paraId="7C112DDF" w14:textId="0E9CC8F2" w:rsidR="00F23505" w:rsidRDefault="00F23505" w:rsidP="00F23505">
      <w:pPr>
        <w:pStyle w:val="ListParagraph"/>
        <w:numPr>
          <w:ilvl w:val="0"/>
          <w:numId w:val="26"/>
        </w:numPr>
      </w:pPr>
      <w:r>
        <w:t>Adequate credentials of Respondent’s management team with respect to financial/commercial management, corporate governance, knowledge of the advanced technolog</w:t>
      </w:r>
      <w:r w:rsidR="00CC59CA">
        <w:t>y</w:t>
      </w:r>
      <w:r>
        <w:t xml:space="preserve"> sector, and skill and industry development expertise.</w:t>
      </w:r>
    </w:p>
    <w:p w14:paraId="2FD5AD07" w14:textId="68E5751F" w:rsidR="00CC59CA" w:rsidRDefault="00CC59CA" w:rsidP="00CC59CA"/>
    <w:p w14:paraId="2E6FAD17" w14:textId="2DC23350" w:rsidR="00CC59CA" w:rsidRDefault="00CC59CA" w:rsidP="00CC59CA">
      <w:r>
        <w:t>Capability and experience</w:t>
      </w:r>
    </w:p>
    <w:p w14:paraId="0D5014A4" w14:textId="77777777" w:rsidR="00CC59CA" w:rsidRDefault="00CC59CA" w:rsidP="00CC59CA">
      <w:pPr>
        <w:pStyle w:val="ListParagraph"/>
        <w:numPr>
          <w:ilvl w:val="0"/>
          <w:numId w:val="27"/>
        </w:numPr>
      </w:pPr>
      <w:r>
        <w:t>Evidence of Respondent experience in establishing similar business and/or operating models as envisaged by the State.</w:t>
      </w:r>
    </w:p>
    <w:p w14:paraId="54347D6A" w14:textId="77777777" w:rsidR="00CC59CA" w:rsidRDefault="00CC59CA" w:rsidP="00CC59CA">
      <w:pPr>
        <w:pStyle w:val="ListParagraph"/>
        <w:numPr>
          <w:ilvl w:val="0"/>
          <w:numId w:val="27"/>
        </w:numPr>
      </w:pPr>
      <w:r>
        <w:t>Adequate Respondent experience in delivering high-quality services to facilitate sector networking, research-industry collaboration, advanced digital skills and capabilities development and talent attraction.</w:t>
      </w:r>
    </w:p>
    <w:p w14:paraId="7CBC414B" w14:textId="77777777" w:rsidR="00CC59CA" w:rsidRDefault="00CC59CA" w:rsidP="00CC59CA">
      <w:pPr>
        <w:pStyle w:val="ListParagraph"/>
        <w:numPr>
          <w:ilvl w:val="0"/>
          <w:numId w:val="27"/>
        </w:numPr>
      </w:pPr>
      <w:r>
        <w:t>Evidence of Respondent networks and relationships with relevant organisations, institutions and industry groups.</w:t>
      </w:r>
    </w:p>
    <w:p w14:paraId="45CB0C9D" w14:textId="0E37488D" w:rsidR="00CC59CA" w:rsidRDefault="00CC59CA" w:rsidP="00CC59CA">
      <w:pPr>
        <w:pStyle w:val="ListParagraph"/>
        <w:numPr>
          <w:ilvl w:val="0"/>
          <w:numId w:val="27"/>
        </w:numPr>
      </w:pPr>
      <w:r>
        <w:t>Evidence of Respondent experience working collaboratively with Government (and Government agencies) and stakeholders.</w:t>
      </w:r>
    </w:p>
    <w:p w14:paraId="79E6FD72" w14:textId="59115AEC" w:rsidR="00CC59CA" w:rsidRDefault="00CC59CA" w:rsidP="00CC59CA"/>
    <w:p w14:paraId="09D9F09F" w14:textId="318FA74D" w:rsidR="00CC59CA" w:rsidRDefault="0009570A" w:rsidP="0009570A">
      <w:pPr>
        <w:pStyle w:val="Heading2"/>
      </w:pPr>
      <w:bookmarkStart w:id="14" w:name="_Toc83223702"/>
      <w:r>
        <w:t>Slide 14: Conclusion</w:t>
      </w:r>
      <w:bookmarkEnd w:id="14"/>
    </w:p>
    <w:p w14:paraId="308280E2" w14:textId="19971DD4" w:rsidR="00257061" w:rsidRDefault="00257061" w:rsidP="00CC59CA"/>
    <w:p w14:paraId="134CC4FC" w14:textId="04495290" w:rsidR="00F83FCD" w:rsidRDefault="00257061" w:rsidP="00AB7B04">
      <w:r>
        <w:t xml:space="preserve">Text: </w:t>
      </w:r>
      <w:r w:rsidRPr="00257061">
        <w:t>Thank you. Website: djpr.vic.gov.au/</w:t>
      </w:r>
      <w:proofErr w:type="spellStart"/>
      <w:r w:rsidRPr="00257061">
        <w:t>cremornedigitalhub</w:t>
      </w:r>
      <w:proofErr w:type="spellEnd"/>
      <w:r>
        <w:t>.</w:t>
      </w:r>
      <w:r w:rsidRPr="00257061">
        <w:t xml:space="preserve"> DJPR Procurement Team</w:t>
      </w:r>
      <w:r>
        <w:t xml:space="preserve"> </w:t>
      </w:r>
      <w:r w:rsidRPr="00257061">
        <w:t xml:space="preserve">Contact: </w:t>
      </w:r>
      <w:hyperlink r:id="rId11" w:history="1">
        <w:r w:rsidRPr="00F66436">
          <w:rPr>
            <w:rStyle w:val="Hyperlink"/>
          </w:rPr>
          <w:t>josh.hines@djpr.vic.gov.au</w:t>
        </w:r>
      </w:hyperlink>
      <w:r>
        <w:t xml:space="preserve">. </w:t>
      </w:r>
      <w:r w:rsidR="00371AEB">
        <w:t>C</w:t>
      </w:r>
      <w:r w:rsidR="00CF3472">
        <w:t xml:space="preserve">remorne </w:t>
      </w:r>
      <w:r w:rsidR="00371AEB">
        <w:t>P</w:t>
      </w:r>
      <w:r w:rsidR="00CF3472">
        <w:t xml:space="preserve">lace Implementation </w:t>
      </w:r>
      <w:r w:rsidR="00371AEB">
        <w:t>P</w:t>
      </w:r>
      <w:r w:rsidR="00CF3472">
        <w:t>lan</w:t>
      </w:r>
      <w:r w:rsidR="00371AEB">
        <w:t xml:space="preserve"> </w:t>
      </w:r>
      <w:r w:rsidR="00CF3472">
        <w:t>- information</w:t>
      </w:r>
      <w:r w:rsidR="00371AEB">
        <w:t xml:space="preserve">: </w:t>
      </w:r>
      <w:hyperlink r:id="rId12" w:history="1">
        <w:r w:rsidR="00205730" w:rsidRPr="00AB2C9D">
          <w:rPr>
            <w:rStyle w:val="Hyperlink"/>
          </w:rPr>
          <w:t>https://vpa.vic.gov.au/project/cremorne</w:t>
        </w:r>
      </w:hyperlink>
      <w:r w:rsidR="00205730">
        <w:t xml:space="preserve">. </w:t>
      </w:r>
    </w:p>
    <w:p w14:paraId="3921F11E" w14:textId="77777777" w:rsidR="00CF3472" w:rsidRDefault="00CF3472" w:rsidP="00AB7B04"/>
    <w:p w14:paraId="3C2AC011" w14:textId="77777777" w:rsidR="00CF3472" w:rsidRDefault="00CF3472" w:rsidP="00AB7B04"/>
    <w:p w14:paraId="3132755A" w14:textId="0CE200C8" w:rsidR="008716A2" w:rsidRPr="008716A2" w:rsidRDefault="00371AEB" w:rsidP="008716A2">
      <w:r>
        <w:t xml:space="preserve">. </w:t>
      </w:r>
    </w:p>
    <w:sectPr w:rsidR="008716A2" w:rsidRPr="008716A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044CD" w14:textId="77777777" w:rsidR="00D14AD2" w:rsidRDefault="00D14AD2" w:rsidP="003F115B">
      <w:r>
        <w:separator/>
      </w:r>
    </w:p>
  </w:endnote>
  <w:endnote w:type="continuationSeparator" w:id="0">
    <w:p w14:paraId="19C86E74" w14:textId="77777777" w:rsidR="00D14AD2" w:rsidRDefault="00D14AD2" w:rsidP="003F115B">
      <w:r>
        <w:continuationSeparator/>
      </w:r>
    </w:p>
  </w:endnote>
  <w:endnote w:type="continuationNotice" w:id="1">
    <w:p w14:paraId="39D50F41" w14:textId="77777777" w:rsidR="00D14AD2" w:rsidRDefault="00D14A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0445480"/>
      <w:docPartObj>
        <w:docPartGallery w:val="Page Numbers (Bottom of Page)"/>
        <w:docPartUnique/>
      </w:docPartObj>
    </w:sdtPr>
    <w:sdtEndPr>
      <w:rPr>
        <w:noProof/>
      </w:rPr>
    </w:sdtEndPr>
    <w:sdtContent>
      <w:p w14:paraId="2DD5C6D2" w14:textId="17BD0AE8" w:rsidR="003F115B" w:rsidRDefault="003F115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68C8B2" w14:textId="77777777" w:rsidR="003F115B" w:rsidRDefault="003F11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80F85" w14:textId="77777777" w:rsidR="00D14AD2" w:rsidRDefault="00D14AD2" w:rsidP="003F115B">
      <w:r>
        <w:separator/>
      </w:r>
    </w:p>
  </w:footnote>
  <w:footnote w:type="continuationSeparator" w:id="0">
    <w:p w14:paraId="1475AC02" w14:textId="77777777" w:rsidR="00D14AD2" w:rsidRDefault="00D14AD2" w:rsidP="003F115B">
      <w:r>
        <w:continuationSeparator/>
      </w:r>
    </w:p>
  </w:footnote>
  <w:footnote w:type="continuationNotice" w:id="1">
    <w:p w14:paraId="24C29F4F" w14:textId="77777777" w:rsidR="00D14AD2" w:rsidRDefault="00D14AD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4DE0"/>
    <w:multiLevelType w:val="hybridMultilevel"/>
    <w:tmpl w:val="922AD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27D6E"/>
    <w:multiLevelType w:val="hybridMultilevel"/>
    <w:tmpl w:val="65C4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E36FB"/>
    <w:multiLevelType w:val="hybridMultilevel"/>
    <w:tmpl w:val="E5744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31E18"/>
    <w:multiLevelType w:val="hybridMultilevel"/>
    <w:tmpl w:val="5FF0FECC"/>
    <w:lvl w:ilvl="0" w:tplc="4E9C105E">
      <w:start w:val="3"/>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47336A"/>
    <w:multiLevelType w:val="hybridMultilevel"/>
    <w:tmpl w:val="3F7CD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962EA"/>
    <w:multiLevelType w:val="hybridMultilevel"/>
    <w:tmpl w:val="F10E5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F209A"/>
    <w:multiLevelType w:val="hybridMultilevel"/>
    <w:tmpl w:val="EE840308"/>
    <w:lvl w:ilvl="0" w:tplc="4E9C105E">
      <w:start w:val="3"/>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8133846"/>
    <w:multiLevelType w:val="hybridMultilevel"/>
    <w:tmpl w:val="29ECA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7A78D8"/>
    <w:multiLevelType w:val="hybridMultilevel"/>
    <w:tmpl w:val="A7C0F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3F3BBA"/>
    <w:multiLevelType w:val="hybridMultilevel"/>
    <w:tmpl w:val="0E426BA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0" w15:restartNumberingAfterBreak="0">
    <w:nsid w:val="1E554907"/>
    <w:multiLevelType w:val="hybridMultilevel"/>
    <w:tmpl w:val="8EFC0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0C0322"/>
    <w:multiLevelType w:val="hybridMultilevel"/>
    <w:tmpl w:val="B1443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4454D2"/>
    <w:multiLevelType w:val="hybridMultilevel"/>
    <w:tmpl w:val="7B923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8912EF"/>
    <w:multiLevelType w:val="hybridMultilevel"/>
    <w:tmpl w:val="16C86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06940"/>
    <w:multiLevelType w:val="hybridMultilevel"/>
    <w:tmpl w:val="29A02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3840F9"/>
    <w:multiLevelType w:val="hybridMultilevel"/>
    <w:tmpl w:val="9684C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45710"/>
    <w:multiLevelType w:val="hybridMultilevel"/>
    <w:tmpl w:val="A8CC1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4E419E"/>
    <w:multiLevelType w:val="hybridMultilevel"/>
    <w:tmpl w:val="F3D61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6C12DF"/>
    <w:multiLevelType w:val="hybridMultilevel"/>
    <w:tmpl w:val="714C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10392"/>
    <w:multiLevelType w:val="hybridMultilevel"/>
    <w:tmpl w:val="64882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033899"/>
    <w:multiLevelType w:val="hybridMultilevel"/>
    <w:tmpl w:val="11C6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511D38"/>
    <w:multiLevelType w:val="hybridMultilevel"/>
    <w:tmpl w:val="57107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1D13B1"/>
    <w:multiLevelType w:val="hybridMultilevel"/>
    <w:tmpl w:val="49B41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D06E0B"/>
    <w:multiLevelType w:val="hybridMultilevel"/>
    <w:tmpl w:val="F662B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1E0596"/>
    <w:multiLevelType w:val="hybridMultilevel"/>
    <w:tmpl w:val="DE68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331EC1"/>
    <w:multiLevelType w:val="hybridMultilevel"/>
    <w:tmpl w:val="68421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BD7045"/>
    <w:multiLevelType w:val="hybridMultilevel"/>
    <w:tmpl w:val="B3DEF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A77FE6"/>
    <w:multiLevelType w:val="hybridMultilevel"/>
    <w:tmpl w:val="FE082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1"/>
  </w:num>
  <w:num w:numId="3">
    <w:abstractNumId w:val="25"/>
  </w:num>
  <w:num w:numId="4">
    <w:abstractNumId w:val="6"/>
  </w:num>
  <w:num w:numId="5">
    <w:abstractNumId w:val="23"/>
  </w:num>
  <w:num w:numId="6">
    <w:abstractNumId w:val="13"/>
  </w:num>
  <w:num w:numId="7">
    <w:abstractNumId w:val="27"/>
  </w:num>
  <w:num w:numId="8">
    <w:abstractNumId w:val="10"/>
  </w:num>
  <w:num w:numId="9">
    <w:abstractNumId w:val="2"/>
  </w:num>
  <w:num w:numId="10">
    <w:abstractNumId w:val="16"/>
  </w:num>
  <w:num w:numId="11">
    <w:abstractNumId w:val="4"/>
  </w:num>
  <w:num w:numId="12">
    <w:abstractNumId w:val="18"/>
  </w:num>
  <w:num w:numId="13">
    <w:abstractNumId w:val="7"/>
  </w:num>
  <w:num w:numId="14">
    <w:abstractNumId w:val="20"/>
  </w:num>
  <w:num w:numId="15">
    <w:abstractNumId w:val="1"/>
  </w:num>
  <w:num w:numId="16">
    <w:abstractNumId w:val="15"/>
  </w:num>
  <w:num w:numId="17">
    <w:abstractNumId w:val="19"/>
  </w:num>
  <w:num w:numId="18">
    <w:abstractNumId w:val="9"/>
  </w:num>
  <w:num w:numId="19">
    <w:abstractNumId w:val="11"/>
  </w:num>
  <w:num w:numId="20">
    <w:abstractNumId w:val="5"/>
  </w:num>
  <w:num w:numId="21">
    <w:abstractNumId w:val="14"/>
  </w:num>
  <w:num w:numId="22">
    <w:abstractNumId w:val="0"/>
  </w:num>
  <w:num w:numId="23">
    <w:abstractNumId w:val="26"/>
  </w:num>
  <w:num w:numId="24">
    <w:abstractNumId w:val="22"/>
  </w:num>
  <w:num w:numId="25">
    <w:abstractNumId w:val="3"/>
  </w:num>
  <w:num w:numId="26">
    <w:abstractNumId w:val="17"/>
  </w:num>
  <w:num w:numId="27">
    <w:abstractNumId w:val="24"/>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77A"/>
    <w:rsid w:val="00002110"/>
    <w:rsid w:val="00013564"/>
    <w:rsid w:val="00022926"/>
    <w:rsid w:val="00052D8E"/>
    <w:rsid w:val="00070F50"/>
    <w:rsid w:val="0007241F"/>
    <w:rsid w:val="0008442C"/>
    <w:rsid w:val="0009570A"/>
    <w:rsid w:val="000D0233"/>
    <w:rsid w:val="000D3F75"/>
    <w:rsid w:val="000E3FF0"/>
    <w:rsid w:val="00105EF0"/>
    <w:rsid w:val="001221A1"/>
    <w:rsid w:val="001401FB"/>
    <w:rsid w:val="00142139"/>
    <w:rsid w:val="00146037"/>
    <w:rsid w:val="00153BAF"/>
    <w:rsid w:val="0018693F"/>
    <w:rsid w:val="0019054D"/>
    <w:rsid w:val="001A3F7A"/>
    <w:rsid w:val="001C7493"/>
    <w:rsid w:val="00205730"/>
    <w:rsid w:val="00212096"/>
    <w:rsid w:val="00257061"/>
    <w:rsid w:val="00257872"/>
    <w:rsid w:val="00261B41"/>
    <w:rsid w:val="002629C6"/>
    <w:rsid w:val="00263FC3"/>
    <w:rsid w:val="00285F7B"/>
    <w:rsid w:val="0029121B"/>
    <w:rsid w:val="00291531"/>
    <w:rsid w:val="00293FA3"/>
    <w:rsid w:val="002A3A38"/>
    <w:rsid w:val="002B6606"/>
    <w:rsid w:val="002C151C"/>
    <w:rsid w:val="002F39A2"/>
    <w:rsid w:val="002F783C"/>
    <w:rsid w:val="003003CA"/>
    <w:rsid w:val="00314A7D"/>
    <w:rsid w:val="0033721F"/>
    <w:rsid w:val="00371AEB"/>
    <w:rsid w:val="00390B3D"/>
    <w:rsid w:val="00393E82"/>
    <w:rsid w:val="003E5AD8"/>
    <w:rsid w:val="003F115B"/>
    <w:rsid w:val="003F1984"/>
    <w:rsid w:val="003F3F49"/>
    <w:rsid w:val="003F5914"/>
    <w:rsid w:val="00403441"/>
    <w:rsid w:val="00424D1B"/>
    <w:rsid w:val="00434139"/>
    <w:rsid w:val="00442173"/>
    <w:rsid w:val="004530B8"/>
    <w:rsid w:val="00454C08"/>
    <w:rsid w:val="004A731F"/>
    <w:rsid w:val="004B0853"/>
    <w:rsid w:val="004C14B1"/>
    <w:rsid w:val="004D5C02"/>
    <w:rsid w:val="004F6181"/>
    <w:rsid w:val="005066C6"/>
    <w:rsid w:val="005107DD"/>
    <w:rsid w:val="0051501F"/>
    <w:rsid w:val="0054103E"/>
    <w:rsid w:val="005420E3"/>
    <w:rsid w:val="005617B1"/>
    <w:rsid w:val="0057137C"/>
    <w:rsid w:val="00594BD5"/>
    <w:rsid w:val="00595A45"/>
    <w:rsid w:val="005A1896"/>
    <w:rsid w:val="005A7982"/>
    <w:rsid w:val="005C008B"/>
    <w:rsid w:val="005C255C"/>
    <w:rsid w:val="005E519F"/>
    <w:rsid w:val="005F0E04"/>
    <w:rsid w:val="005F1C95"/>
    <w:rsid w:val="006065D4"/>
    <w:rsid w:val="00612634"/>
    <w:rsid w:val="00613286"/>
    <w:rsid w:val="00616442"/>
    <w:rsid w:val="00636486"/>
    <w:rsid w:val="006649E5"/>
    <w:rsid w:val="006810A2"/>
    <w:rsid w:val="00692592"/>
    <w:rsid w:val="007035BE"/>
    <w:rsid w:val="007151D5"/>
    <w:rsid w:val="007476F3"/>
    <w:rsid w:val="007534E8"/>
    <w:rsid w:val="00794225"/>
    <w:rsid w:val="007D51B7"/>
    <w:rsid w:val="007E0740"/>
    <w:rsid w:val="007F5209"/>
    <w:rsid w:val="00840DF8"/>
    <w:rsid w:val="00870BCA"/>
    <w:rsid w:val="008716A2"/>
    <w:rsid w:val="008766A5"/>
    <w:rsid w:val="008C4A51"/>
    <w:rsid w:val="008D4020"/>
    <w:rsid w:val="008D53EC"/>
    <w:rsid w:val="008E2BF0"/>
    <w:rsid w:val="00913DEF"/>
    <w:rsid w:val="00935B04"/>
    <w:rsid w:val="0095679D"/>
    <w:rsid w:val="00980B44"/>
    <w:rsid w:val="0098651F"/>
    <w:rsid w:val="009B69F2"/>
    <w:rsid w:val="009C20D0"/>
    <w:rsid w:val="009D41F0"/>
    <w:rsid w:val="00A01704"/>
    <w:rsid w:val="00A27B52"/>
    <w:rsid w:val="00A4553C"/>
    <w:rsid w:val="00A47050"/>
    <w:rsid w:val="00A64F68"/>
    <w:rsid w:val="00A6601C"/>
    <w:rsid w:val="00A83CB6"/>
    <w:rsid w:val="00AB16C9"/>
    <w:rsid w:val="00AB5531"/>
    <w:rsid w:val="00AB7B04"/>
    <w:rsid w:val="00AD73FB"/>
    <w:rsid w:val="00B14858"/>
    <w:rsid w:val="00B24077"/>
    <w:rsid w:val="00B2466E"/>
    <w:rsid w:val="00B35A10"/>
    <w:rsid w:val="00B417FA"/>
    <w:rsid w:val="00B6201E"/>
    <w:rsid w:val="00B80CDB"/>
    <w:rsid w:val="00B91741"/>
    <w:rsid w:val="00B976A5"/>
    <w:rsid w:val="00B97DAB"/>
    <w:rsid w:val="00BB61F1"/>
    <w:rsid w:val="00BC3D1A"/>
    <w:rsid w:val="00BC6821"/>
    <w:rsid w:val="00C01AA9"/>
    <w:rsid w:val="00C01DD2"/>
    <w:rsid w:val="00C36C8B"/>
    <w:rsid w:val="00C37160"/>
    <w:rsid w:val="00C40288"/>
    <w:rsid w:val="00C424A6"/>
    <w:rsid w:val="00C55789"/>
    <w:rsid w:val="00C913F5"/>
    <w:rsid w:val="00CC59CA"/>
    <w:rsid w:val="00CC76D5"/>
    <w:rsid w:val="00CE13D2"/>
    <w:rsid w:val="00CE50DE"/>
    <w:rsid w:val="00CF04FB"/>
    <w:rsid w:val="00CF3472"/>
    <w:rsid w:val="00D051FF"/>
    <w:rsid w:val="00D13108"/>
    <w:rsid w:val="00D14AD2"/>
    <w:rsid w:val="00D17FE4"/>
    <w:rsid w:val="00D20218"/>
    <w:rsid w:val="00D239FE"/>
    <w:rsid w:val="00D25D50"/>
    <w:rsid w:val="00D31275"/>
    <w:rsid w:val="00D321AD"/>
    <w:rsid w:val="00D51B8C"/>
    <w:rsid w:val="00D54E54"/>
    <w:rsid w:val="00D71992"/>
    <w:rsid w:val="00D84E49"/>
    <w:rsid w:val="00DA1C9F"/>
    <w:rsid w:val="00DD0E22"/>
    <w:rsid w:val="00DD7862"/>
    <w:rsid w:val="00E0208D"/>
    <w:rsid w:val="00E1586F"/>
    <w:rsid w:val="00E15DF9"/>
    <w:rsid w:val="00E319F3"/>
    <w:rsid w:val="00E45993"/>
    <w:rsid w:val="00E478A8"/>
    <w:rsid w:val="00E5192E"/>
    <w:rsid w:val="00E76257"/>
    <w:rsid w:val="00E77A90"/>
    <w:rsid w:val="00E80EFC"/>
    <w:rsid w:val="00EB63D8"/>
    <w:rsid w:val="00EC25DF"/>
    <w:rsid w:val="00EC3E24"/>
    <w:rsid w:val="00EE6094"/>
    <w:rsid w:val="00F23505"/>
    <w:rsid w:val="00F35A70"/>
    <w:rsid w:val="00F61688"/>
    <w:rsid w:val="00F83FCD"/>
    <w:rsid w:val="00FA077A"/>
    <w:rsid w:val="00FB0794"/>
    <w:rsid w:val="00FE5BBC"/>
    <w:rsid w:val="0694D50A"/>
    <w:rsid w:val="0D9B08A4"/>
    <w:rsid w:val="15CEB890"/>
    <w:rsid w:val="36462B0C"/>
    <w:rsid w:val="671ABD4E"/>
    <w:rsid w:val="6C5D14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5AD4"/>
  <w15:chartTrackingRefBased/>
  <w15:docId w15:val="{C45A6590-F005-BE44-9CF3-32DD3C6A8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151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570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9570A"/>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77A"/>
    <w:pPr>
      <w:ind w:left="720"/>
      <w:contextualSpacing/>
    </w:pPr>
  </w:style>
  <w:style w:type="character" w:styleId="Hyperlink">
    <w:name w:val="Hyperlink"/>
    <w:basedOn w:val="DefaultParagraphFont"/>
    <w:uiPriority w:val="99"/>
    <w:unhideWhenUsed/>
    <w:rsid w:val="00257061"/>
    <w:rPr>
      <w:color w:val="0563C1" w:themeColor="hyperlink"/>
      <w:u w:val="single"/>
    </w:rPr>
  </w:style>
  <w:style w:type="character" w:styleId="UnresolvedMention">
    <w:name w:val="Unresolved Mention"/>
    <w:basedOn w:val="DefaultParagraphFont"/>
    <w:uiPriority w:val="99"/>
    <w:semiHidden/>
    <w:unhideWhenUsed/>
    <w:rsid w:val="00257061"/>
    <w:rPr>
      <w:color w:val="605E5C"/>
      <w:shd w:val="clear" w:color="auto" w:fill="E1DFDD"/>
    </w:rPr>
  </w:style>
  <w:style w:type="character" w:styleId="FollowedHyperlink">
    <w:name w:val="FollowedHyperlink"/>
    <w:basedOn w:val="DefaultParagraphFont"/>
    <w:uiPriority w:val="99"/>
    <w:semiHidden/>
    <w:unhideWhenUsed/>
    <w:rsid w:val="00257061"/>
    <w:rPr>
      <w:color w:val="954F72" w:themeColor="followedHyperlink"/>
      <w:u w:val="single"/>
    </w:rPr>
  </w:style>
  <w:style w:type="character" w:customStyle="1" w:styleId="Heading1Char">
    <w:name w:val="Heading 1 Char"/>
    <w:basedOn w:val="DefaultParagraphFont"/>
    <w:link w:val="Heading1"/>
    <w:uiPriority w:val="9"/>
    <w:rsid w:val="002C151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C151C"/>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2C151C"/>
    <w:pPr>
      <w:spacing w:before="120"/>
    </w:pPr>
    <w:rPr>
      <w:rFonts w:cstheme="minorHAnsi"/>
      <w:b/>
      <w:bCs/>
      <w:i/>
      <w:iCs/>
    </w:rPr>
  </w:style>
  <w:style w:type="paragraph" w:styleId="TOC2">
    <w:name w:val="toc 2"/>
    <w:basedOn w:val="Normal"/>
    <w:next w:val="Normal"/>
    <w:autoRedefine/>
    <w:uiPriority w:val="39"/>
    <w:unhideWhenUsed/>
    <w:rsid w:val="002C151C"/>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2C151C"/>
    <w:pPr>
      <w:ind w:left="480"/>
    </w:pPr>
    <w:rPr>
      <w:rFonts w:cstheme="minorHAnsi"/>
      <w:sz w:val="20"/>
      <w:szCs w:val="20"/>
    </w:rPr>
  </w:style>
  <w:style w:type="paragraph" w:styleId="TOC4">
    <w:name w:val="toc 4"/>
    <w:basedOn w:val="Normal"/>
    <w:next w:val="Normal"/>
    <w:autoRedefine/>
    <w:uiPriority w:val="39"/>
    <w:semiHidden/>
    <w:unhideWhenUsed/>
    <w:rsid w:val="002C151C"/>
    <w:pPr>
      <w:ind w:left="720"/>
    </w:pPr>
    <w:rPr>
      <w:rFonts w:cstheme="minorHAnsi"/>
      <w:sz w:val="20"/>
      <w:szCs w:val="20"/>
    </w:rPr>
  </w:style>
  <w:style w:type="paragraph" w:styleId="TOC5">
    <w:name w:val="toc 5"/>
    <w:basedOn w:val="Normal"/>
    <w:next w:val="Normal"/>
    <w:autoRedefine/>
    <w:uiPriority w:val="39"/>
    <w:semiHidden/>
    <w:unhideWhenUsed/>
    <w:rsid w:val="002C151C"/>
    <w:pPr>
      <w:ind w:left="960"/>
    </w:pPr>
    <w:rPr>
      <w:rFonts w:cstheme="minorHAnsi"/>
      <w:sz w:val="20"/>
      <w:szCs w:val="20"/>
    </w:rPr>
  </w:style>
  <w:style w:type="paragraph" w:styleId="TOC6">
    <w:name w:val="toc 6"/>
    <w:basedOn w:val="Normal"/>
    <w:next w:val="Normal"/>
    <w:autoRedefine/>
    <w:uiPriority w:val="39"/>
    <w:semiHidden/>
    <w:unhideWhenUsed/>
    <w:rsid w:val="002C151C"/>
    <w:pPr>
      <w:ind w:left="1200"/>
    </w:pPr>
    <w:rPr>
      <w:rFonts w:cstheme="minorHAnsi"/>
      <w:sz w:val="20"/>
      <w:szCs w:val="20"/>
    </w:rPr>
  </w:style>
  <w:style w:type="paragraph" w:styleId="TOC7">
    <w:name w:val="toc 7"/>
    <w:basedOn w:val="Normal"/>
    <w:next w:val="Normal"/>
    <w:autoRedefine/>
    <w:uiPriority w:val="39"/>
    <w:semiHidden/>
    <w:unhideWhenUsed/>
    <w:rsid w:val="002C151C"/>
    <w:pPr>
      <w:ind w:left="1440"/>
    </w:pPr>
    <w:rPr>
      <w:rFonts w:cstheme="minorHAnsi"/>
      <w:sz w:val="20"/>
      <w:szCs w:val="20"/>
    </w:rPr>
  </w:style>
  <w:style w:type="paragraph" w:styleId="TOC8">
    <w:name w:val="toc 8"/>
    <w:basedOn w:val="Normal"/>
    <w:next w:val="Normal"/>
    <w:autoRedefine/>
    <w:uiPriority w:val="39"/>
    <w:semiHidden/>
    <w:unhideWhenUsed/>
    <w:rsid w:val="002C151C"/>
    <w:pPr>
      <w:ind w:left="1680"/>
    </w:pPr>
    <w:rPr>
      <w:rFonts w:cstheme="minorHAnsi"/>
      <w:sz w:val="20"/>
      <w:szCs w:val="20"/>
    </w:rPr>
  </w:style>
  <w:style w:type="paragraph" w:styleId="TOC9">
    <w:name w:val="toc 9"/>
    <w:basedOn w:val="Normal"/>
    <w:next w:val="Normal"/>
    <w:autoRedefine/>
    <w:uiPriority w:val="39"/>
    <w:semiHidden/>
    <w:unhideWhenUsed/>
    <w:rsid w:val="002C151C"/>
    <w:pPr>
      <w:ind w:left="1920"/>
    </w:pPr>
    <w:rPr>
      <w:rFonts w:cstheme="minorHAnsi"/>
      <w:sz w:val="20"/>
      <w:szCs w:val="20"/>
    </w:rPr>
  </w:style>
  <w:style w:type="character" w:customStyle="1" w:styleId="Heading2Char">
    <w:name w:val="Heading 2 Char"/>
    <w:basedOn w:val="DefaultParagraphFont"/>
    <w:link w:val="Heading2"/>
    <w:uiPriority w:val="9"/>
    <w:rsid w:val="0009570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9570A"/>
    <w:rPr>
      <w:rFonts w:asciiTheme="majorHAnsi" w:eastAsiaTheme="majorEastAsia" w:hAnsiTheme="majorHAnsi" w:cstheme="majorBidi"/>
      <w:color w:val="1F3763" w:themeColor="accent1" w:themeShade="7F"/>
    </w:rPr>
  </w:style>
  <w:style w:type="paragraph" w:styleId="Revision">
    <w:name w:val="Revision"/>
    <w:hidden/>
    <w:uiPriority w:val="99"/>
    <w:semiHidden/>
    <w:rsid w:val="00E1586F"/>
  </w:style>
  <w:style w:type="paragraph" w:styleId="Header">
    <w:name w:val="header"/>
    <w:basedOn w:val="Normal"/>
    <w:link w:val="HeaderChar"/>
    <w:uiPriority w:val="99"/>
    <w:unhideWhenUsed/>
    <w:rsid w:val="003F115B"/>
    <w:pPr>
      <w:tabs>
        <w:tab w:val="center" w:pos="4513"/>
        <w:tab w:val="right" w:pos="9026"/>
      </w:tabs>
    </w:pPr>
  </w:style>
  <w:style w:type="character" w:customStyle="1" w:styleId="HeaderChar">
    <w:name w:val="Header Char"/>
    <w:basedOn w:val="DefaultParagraphFont"/>
    <w:link w:val="Header"/>
    <w:uiPriority w:val="99"/>
    <w:rsid w:val="003F115B"/>
  </w:style>
  <w:style w:type="paragraph" w:styleId="Footer">
    <w:name w:val="footer"/>
    <w:basedOn w:val="Normal"/>
    <w:link w:val="FooterChar"/>
    <w:uiPriority w:val="99"/>
    <w:unhideWhenUsed/>
    <w:rsid w:val="003F115B"/>
    <w:pPr>
      <w:tabs>
        <w:tab w:val="center" w:pos="4513"/>
        <w:tab w:val="right" w:pos="9026"/>
      </w:tabs>
    </w:pPr>
  </w:style>
  <w:style w:type="character" w:customStyle="1" w:styleId="FooterChar">
    <w:name w:val="Footer Char"/>
    <w:basedOn w:val="DefaultParagraphFont"/>
    <w:link w:val="Footer"/>
    <w:uiPriority w:val="99"/>
    <w:rsid w:val="003F1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67500">
      <w:bodyDiv w:val="1"/>
      <w:marLeft w:val="0"/>
      <w:marRight w:val="0"/>
      <w:marTop w:val="0"/>
      <w:marBottom w:val="0"/>
      <w:divBdr>
        <w:top w:val="none" w:sz="0" w:space="0" w:color="auto"/>
        <w:left w:val="none" w:sz="0" w:space="0" w:color="auto"/>
        <w:bottom w:val="none" w:sz="0" w:space="0" w:color="auto"/>
        <w:right w:val="none" w:sz="0" w:space="0" w:color="auto"/>
      </w:divBdr>
      <w:divsChild>
        <w:div w:id="2060398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pa.vic.gov.au/project/cremorn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sh.hines@djpr.vic.gov.a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1EBD683C3CA742AD95297558F8F319" ma:contentTypeVersion="14" ma:contentTypeDescription="Create a new document." ma:contentTypeScope="" ma:versionID="ea2bcb847a48277e63e844937d7fc377">
  <xsd:schema xmlns:xsd="http://www.w3.org/2001/XMLSchema" xmlns:xs="http://www.w3.org/2001/XMLSchema" xmlns:p="http://schemas.microsoft.com/office/2006/metadata/properties" xmlns:ns2="809c7729-190a-4402-9f89-661f73c0fc19" xmlns:ns3="1a132dbe-c4d7-4bfd-97a5-a113a1b8a699" targetNamespace="http://schemas.microsoft.com/office/2006/metadata/properties" ma:root="true" ma:fieldsID="1bee68c3a471d1cf64e42314f1f2c7c2" ns2:_="" ns3:_="">
    <xsd:import namespace="809c7729-190a-4402-9f89-661f73c0fc19"/>
    <xsd:import namespace="1a132dbe-c4d7-4bfd-97a5-a113a1b8a6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_Flow_SignoffStatu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c7729-190a-4402-9f89-661f73c0f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132dbe-c4d7-4bfd-97a5-a113a1b8a6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809c7729-190a-4402-9f89-661f73c0fc19" xsi:nil="true"/>
    <SharedWithUsers xmlns="1a132dbe-c4d7-4bfd-97a5-a113a1b8a699">
      <UserInfo>
        <DisplayName>Kathy L Coultas (DJPR)</DisplayName>
        <AccountId>89</AccountId>
        <AccountType/>
      </UserInfo>
      <UserInfo>
        <DisplayName>Toby Motoi (DJPR)</DisplayName>
        <AccountId>184</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FD4A13-4C5A-43E3-8C27-4C16DD75CB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c7729-190a-4402-9f89-661f73c0fc19"/>
    <ds:schemaRef ds:uri="1a132dbe-c4d7-4bfd-97a5-a113a1b8a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C138D9-4FFE-4C64-8A0E-78AE95DF86DB}">
  <ds:schemaRefs>
    <ds:schemaRef ds:uri="http://schemas.microsoft.com/sharepoint/v3/contenttype/forms"/>
  </ds:schemaRefs>
</ds:datastoreItem>
</file>

<file path=customXml/itemProps3.xml><?xml version="1.0" encoding="utf-8"?>
<ds:datastoreItem xmlns:ds="http://schemas.openxmlformats.org/officeDocument/2006/customXml" ds:itemID="{D83F1158-E4E4-4072-8B66-DE68DC9439FD}">
  <ds:schemaRefs>
    <ds:schemaRef ds:uri="http://schemas.microsoft.com/office/2006/metadata/properties"/>
    <ds:schemaRef ds:uri="http://schemas.microsoft.com/office/infopath/2007/PartnerControls"/>
    <ds:schemaRef ds:uri="809c7729-190a-4402-9f89-661f73c0fc19"/>
    <ds:schemaRef ds:uri="1a132dbe-c4d7-4bfd-97a5-a113a1b8a699"/>
  </ds:schemaRefs>
</ds:datastoreItem>
</file>

<file path=customXml/itemProps4.xml><?xml version="1.0" encoding="utf-8"?>
<ds:datastoreItem xmlns:ds="http://schemas.openxmlformats.org/officeDocument/2006/customXml" ds:itemID="{BDF4E2A0-7CA2-4932-8506-A6E4F4C7F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Pages>
  <Words>3413</Words>
  <Characters>19457</Characters>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22825</CharactersWithSpaces>
  <SharedDoc>false</SharedDoc>
  <HLinks>
    <vt:vector size="96" baseType="variant">
      <vt:variant>
        <vt:i4>3473444</vt:i4>
      </vt:variant>
      <vt:variant>
        <vt:i4>90</vt:i4>
      </vt:variant>
      <vt:variant>
        <vt:i4>0</vt:i4>
      </vt:variant>
      <vt:variant>
        <vt:i4>5</vt:i4>
      </vt:variant>
      <vt:variant>
        <vt:lpwstr>https://vpa.vic.gov.au/project/cremorne</vt:lpwstr>
      </vt:variant>
      <vt:variant>
        <vt:lpwstr/>
      </vt:variant>
      <vt:variant>
        <vt:i4>6553604</vt:i4>
      </vt:variant>
      <vt:variant>
        <vt:i4>87</vt:i4>
      </vt:variant>
      <vt:variant>
        <vt:i4>0</vt:i4>
      </vt:variant>
      <vt:variant>
        <vt:i4>5</vt:i4>
      </vt:variant>
      <vt:variant>
        <vt:lpwstr>mailto:josh.hines@djpr.vic.gov.au</vt:lpwstr>
      </vt:variant>
      <vt:variant>
        <vt:lpwstr/>
      </vt:variant>
      <vt:variant>
        <vt:i4>1245241</vt:i4>
      </vt:variant>
      <vt:variant>
        <vt:i4>80</vt:i4>
      </vt:variant>
      <vt:variant>
        <vt:i4>0</vt:i4>
      </vt:variant>
      <vt:variant>
        <vt:i4>5</vt:i4>
      </vt:variant>
      <vt:variant>
        <vt:lpwstr/>
      </vt:variant>
      <vt:variant>
        <vt:lpwstr>_Toc83223702</vt:lpwstr>
      </vt:variant>
      <vt:variant>
        <vt:i4>1048633</vt:i4>
      </vt:variant>
      <vt:variant>
        <vt:i4>74</vt:i4>
      </vt:variant>
      <vt:variant>
        <vt:i4>0</vt:i4>
      </vt:variant>
      <vt:variant>
        <vt:i4>5</vt:i4>
      </vt:variant>
      <vt:variant>
        <vt:lpwstr/>
      </vt:variant>
      <vt:variant>
        <vt:lpwstr>_Toc83223701</vt:lpwstr>
      </vt:variant>
      <vt:variant>
        <vt:i4>1114169</vt:i4>
      </vt:variant>
      <vt:variant>
        <vt:i4>68</vt:i4>
      </vt:variant>
      <vt:variant>
        <vt:i4>0</vt:i4>
      </vt:variant>
      <vt:variant>
        <vt:i4>5</vt:i4>
      </vt:variant>
      <vt:variant>
        <vt:lpwstr/>
      </vt:variant>
      <vt:variant>
        <vt:lpwstr>_Toc83223700</vt:lpwstr>
      </vt:variant>
      <vt:variant>
        <vt:i4>1638448</vt:i4>
      </vt:variant>
      <vt:variant>
        <vt:i4>62</vt:i4>
      </vt:variant>
      <vt:variant>
        <vt:i4>0</vt:i4>
      </vt:variant>
      <vt:variant>
        <vt:i4>5</vt:i4>
      </vt:variant>
      <vt:variant>
        <vt:lpwstr/>
      </vt:variant>
      <vt:variant>
        <vt:lpwstr>_Toc83223699</vt:lpwstr>
      </vt:variant>
      <vt:variant>
        <vt:i4>1572912</vt:i4>
      </vt:variant>
      <vt:variant>
        <vt:i4>56</vt:i4>
      </vt:variant>
      <vt:variant>
        <vt:i4>0</vt:i4>
      </vt:variant>
      <vt:variant>
        <vt:i4>5</vt:i4>
      </vt:variant>
      <vt:variant>
        <vt:lpwstr/>
      </vt:variant>
      <vt:variant>
        <vt:lpwstr>_Toc83223698</vt:lpwstr>
      </vt:variant>
      <vt:variant>
        <vt:i4>1507376</vt:i4>
      </vt:variant>
      <vt:variant>
        <vt:i4>50</vt:i4>
      </vt:variant>
      <vt:variant>
        <vt:i4>0</vt:i4>
      </vt:variant>
      <vt:variant>
        <vt:i4>5</vt:i4>
      </vt:variant>
      <vt:variant>
        <vt:lpwstr/>
      </vt:variant>
      <vt:variant>
        <vt:lpwstr>_Toc83223697</vt:lpwstr>
      </vt:variant>
      <vt:variant>
        <vt:i4>1441840</vt:i4>
      </vt:variant>
      <vt:variant>
        <vt:i4>44</vt:i4>
      </vt:variant>
      <vt:variant>
        <vt:i4>0</vt:i4>
      </vt:variant>
      <vt:variant>
        <vt:i4>5</vt:i4>
      </vt:variant>
      <vt:variant>
        <vt:lpwstr/>
      </vt:variant>
      <vt:variant>
        <vt:lpwstr>_Toc83223696</vt:lpwstr>
      </vt:variant>
      <vt:variant>
        <vt:i4>1376304</vt:i4>
      </vt:variant>
      <vt:variant>
        <vt:i4>38</vt:i4>
      </vt:variant>
      <vt:variant>
        <vt:i4>0</vt:i4>
      </vt:variant>
      <vt:variant>
        <vt:i4>5</vt:i4>
      </vt:variant>
      <vt:variant>
        <vt:lpwstr/>
      </vt:variant>
      <vt:variant>
        <vt:lpwstr>_Toc83223695</vt:lpwstr>
      </vt:variant>
      <vt:variant>
        <vt:i4>1310768</vt:i4>
      </vt:variant>
      <vt:variant>
        <vt:i4>32</vt:i4>
      </vt:variant>
      <vt:variant>
        <vt:i4>0</vt:i4>
      </vt:variant>
      <vt:variant>
        <vt:i4>5</vt:i4>
      </vt:variant>
      <vt:variant>
        <vt:lpwstr/>
      </vt:variant>
      <vt:variant>
        <vt:lpwstr>_Toc83223694</vt:lpwstr>
      </vt:variant>
      <vt:variant>
        <vt:i4>1245232</vt:i4>
      </vt:variant>
      <vt:variant>
        <vt:i4>26</vt:i4>
      </vt:variant>
      <vt:variant>
        <vt:i4>0</vt:i4>
      </vt:variant>
      <vt:variant>
        <vt:i4>5</vt:i4>
      </vt:variant>
      <vt:variant>
        <vt:lpwstr/>
      </vt:variant>
      <vt:variant>
        <vt:lpwstr>_Toc83223693</vt:lpwstr>
      </vt:variant>
      <vt:variant>
        <vt:i4>1179696</vt:i4>
      </vt:variant>
      <vt:variant>
        <vt:i4>20</vt:i4>
      </vt:variant>
      <vt:variant>
        <vt:i4>0</vt:i4>
      </vt:variant>
      <vt:variant>
        <vt:i4>5</vt:i4>
      </vt:variant>
      <vt:variant>
        <vt:lpwstr/>
      </vt:variant>
      <vt:variant>
        <vt:lpwstr>_Toc83223692</vt:lpwstr>
      </vt:variant>
      <vt:variant>
        <vt:i4>1114160</vt:i4>
      </vt:variant>
      <vt:variant>
        <vt:i4>14</vt:i4>
      </vt:variant>
      <vt:variant>
        <vt:i4>0</vt:i4>
      </vt:variant>
      <vt:variant>
        <vt:i4>5</vt:i4>
      </vt:variant>
      <vt:variant>
        <vt:lpwstr/>
      </vt:variant>
      <vt:variant>
        <vt:lpwstr>_Toc83223691</vt:lpwstr>
      </vt:variant>
      <vt:variant>
        <vt:i4>1048624</vt:i4>
      </vt:variant>
      <vt:variant>
        <vt:i4>8</vt:i4>
      </vt:variant>
      <vt:variant>
        <vt:i4>0</vt:i4>
      </vt:variant>
      <vt:variant>
        <vt:i4>5</vt:i4>
      </vt:variant>
      <vt:variant>
        <vt:lpwstr/>
      </vt:variant>
      <vt:variant>
        <vt:lpwstr>_Toc83223690</vt:lpwstr>
      </vt:variant>
      <vt:variant>
        <vt:i4>1638449</vt:i4>
      </vt:variant>
      <vt:variant>
        <vt:i4>2</vt:i4>
      </vt:variant>
      <vt:variant>
        <vt:i4>0</vt:i4>
      </vt:variant>
      <vt:variant>
        <vt:i4>5</vt:i4>
      </vt:variant>
      <vt:variant>
        <vt:lpwstr/>
      </vt:variant>
      <vt:variant>
        <vt:lpwstr>_Toc83223689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2021-09-22T00:55:00Z</dcterms:created>
  <dcterms:modified xsi:type="dcterms:W3CDTF">2021-09-22T07:49:00Z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0x010100A31EBD683C3CA742AD95297558F8F319</vt:lpwstr>
  </property>
</Properties>
</file>