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2CDB0A" w14:textId="577762B2" w:rsidR="0082708B" w:rsidRDefault="0082708B" w:rsidP="00F05A18">
      <w:pPr>
        <w:spacing w:after="360"/>
        <w:jc w:val="center"/>
        <w:textAlignment w:val="baseline"/>
        <w:rPr>
          <w:rFonts w:ascii="Calibri" w:eastAsia="Calibri" w:hAnsi="Calibri" w:cs="Calibri"/>
          <w:b/>
          <w:noProof/>
          <w:sz w:val="32"/>
          <w:szCs w:val="32"/>
          <w:lang w:eastAsia="en-AU"/>
        </w:rPr>
      </w:pPr>
      <w:bookmarkStart w:id="0" w:name="_Hlk27480666"/>
      <w:r>
        <w:rPr>
          <w:rFonts w:ascii="Calibri" w:eastAsia="Calibri" w:hAnsi="Calibri" w:cs="Calibri"/>
          <w:b/>
          <w:noProof/>
          <w:sz w:val="32"/>
          <w:szCs w:val="32"/>
          <w:lang w:eastAsia="en-AU"/>
        </w:rPr>
        <w:t>Kangaroo Harvest Program</w:t>
      </w:r>
      <w:r w:rsidR="000A5C58">
        <w:rPr>
          <w:rFonts w:ascii="Calibri" w:eastAsia="Calibri" w:hAnsi="Calibri" w:cs="Calibri"/>
          <w:b/>
          <w:noProof/>
          <w:sz w:val="32"/>
          <w:szCs w:val="32"/>
          <w:lang w:eastAsia="en-AU"/>
        </w:rPr>
        <w:t xml:space="preserve"> update</w:t>
      </w:r>
      <w:r>
        <w:rPr>
          <w:rFonts w:ascii="Calibri" w:eastAsia="Calibri" w:hAnsi="Calibri" w:cs="Calibri"/>
          <w:b/>
          <w:noProof/>
          <w:sz w:val="32"/>
          <w:szCs w:val="32"/>
          <w:lang w:eastAsia="en-AU"/>
        </w:rPr>
        <w:t xml:space="preserve"> – December 2019</w:t>
      </w:r>
    </w:p>
    <w:p w14:paraId="7EDBC6FA" w14:textId="77777777" w:rsidR="0082708B" w:rsidRDefault="0082708B" w:rsidP="00E63C9B">
      <w:pPr>
        <w:rPr>
          <w:rFonts w:ascii="Calibri" w:eastAsia="Calibri" w:hAnsi="Calibri" w:cs="Calibri"/>
          <w:noProof/>
          <w:sz w:val="24"/>
          <w:szCs w:val="24"/>
          <w:lang w:eastAsia="en-AU"/>
        </w:rPr>
        <w:sectPr w:rsidR="0082708B" w:rsidSect="00F05A18">
          <w:headerReference w:type="default" r:id="rId8"/>
          <w:footerReference w:type="default" r:id="rId9"/>
          <w:type w:val="continuous"/>
          <w:pgSz w:w="11906" w:h="16838"/>
          <w:pgMar w:top="1843" w:right="1440" w:bottom="1440" w:left="1440" w:header="708" w:footer="708" w:gutter="0"/>
          <w:cols w:space="708"/>
          <w:docGrid w:linePitch="360"/>
        </w:sectPr>
      </w:pPr>
    </w:p>
    <w:p w14:paraId="0D7383D4" w14:textId="1A122AEC" w:rsidR="0031164D" w:rsidRPr="00BE6DFE" w:rsidRDefault="0031164D" w:rsidP="00E63C9B">
      <w:pPr>
        <w:rPr>
          <w:rFonts w:ascii="Calibri" w:eastAsia="Calibri" w:hAnsi="Calibri" w:cs="Calibri"/>
          <w:noProof/>
          <w:sz w:val="24"/>
          <w:szCs w:val="24"/>
          <w:lang w:eastAsia="en-AU"/>
        </w:rPr>
      </w:pPr>
      <w:r w:rsidRPr="00BE6DFE">
        <w:rPr>
          <w:rFonts w:ascii="Calibri" w:eastAsia="Calibri" w:hAnsi="Calibri" w:cs="Calibri"/>
          <w:noProof/>
          <w:sz w:val="24"/>
          <w:szCs w:val="24"/>
          <w:lang w:eastAsia="en-AU"/>
        </w:rPr>
        <w:t xml:space="preserve">Hi </w:t>
      </w:r>
      <w:r w:rsidR="000A5C58">
        <w:rPr>
          <w:rFonts w:ascii="Calibri" w:eastAsia="Calibri" w:hAnsi="Calibri" w:cs="Calibri"/>
          <w:noProof/>
          <w:sz w:val="24"/>
          <w:szCs w:val="24"/>
          <w:lang w:eastAsia="en-AU"/>
        </w:rPr>
        <w:t>a</w:t>
      </w:r>
      <w:r w:rsidRPr="00BE6DFE">
        <w:rPr>
          <w:rFonts w:ascii="Calibri" w:eastAsia="Calibri" w:hAnsi="Calibri" w:cs="Calibri"/>
          <w:noProof/>
          <w:sz w:val="24"/>
          <w:szCs w:val="24"/>
          <w:lang w:eastAsia="en-AU"/>
        </w:rPr>
        <w:t>ll,</w:t>
      </w:r>
    </w:p>
    <w:p w14:paraId="23952333" w14:textId="47A7B2E1" w:rsidR="00BE6DFE" w:rsidRPr="00BE6DFE" w:rsidRDefault="00BE6DFE" w:rsidP="00E63C9B">
      <w:pPr>
        <w:rPr>
          <w:sz w:val="24"/>
          <w:szCs w:val="24"/>
        </w:rPr>
      </w:pPr>
      <w:r w:rsidRPr="00BE6DFE">
        <w:rPr>
          <w:sz w:val="24"/>
          <w:szCs w:val="24"/>
        </w:rPr>
        <w:t>Welcome to the first update of the new Kangaroo Harvest Program</w:t>
      </w:r>
      <w:r w:rsidR="000A5C58">
        <w:rPr>
          <w:sz w:val="24"/>
          <w:szCs w:val="24"/>
        </w:rPr>
        <w:t>.</w:t>
      </w:r>
      <w:r w:rsidRPr="00BE6DFE">
        <w:rPr>
          <w:sz w:val="24"/>
          <w:szCs w:val="24"/>
        </w:rPr>
        <w:t xml:space="preserve">  As you all know, the previous Kangaroo Pet Food Trial (KPFT) </w:t>
      </w:r>
      <w:r w:rsidR="000A5C58">
        <w:rPr>
          <w:sz w:val="24"/>
          <w:szCs w:val="24"/>
        </w:rPr>
        <w:t xml:space="preserve">ended </w:t>
      </w:r>
      <w:r w:rsidR="00F05A18">
        <w:rPr>
          <w:sz w:val="24"/>
          <w:szCs w:val="24"/>
        </w:rPr>
        <w:t>on 30 September 2019</w:t>
      </w:r>
      <w:r w:rsidR="000A5C58">
        <w:rPr>
          <w:sz w:val="24"/>
          <w:szCs w:val="24"/>
        </w:rPr>
        <w:t xml:space="preserve"> </w:t>
      </w:r>
      <w:r w:rsidRPr="00BE6DFE">
        <w:rPr>
          <w:sz w:val="24"/>
          <w:szCs w:val="24"/>
        </w:rPr>
        <w:t xml:space="preserve">and </w:t>
      </w:r>
      <w:r w:rsidR="000A5C58">
        <w:rPr>
          <w:sz w:val="24"/>
          <w:szCs w:val="24"/>
        </w:rPr>
        <w:t>has been</w:t>
      </w:r>
      <w:r w:rsidR="000A5C58" w:rsidRPr="00BE6DFE">
        <w:rPr>
          <w:sz w:val="24"/>
          <w:szCs w:val="24"/>
        </w:rPr>
        <w:t xml:space="preserve"> </w:t>
      </w:r>
      <w:r w:rsidRPr="00BE6DFE">
        <w:rPr>
          <w:sz w:val="24"/>
          <w:szCs w:val="24"/>
        </w:rPr>
        <w:t xml:space="preserve">replaced with the new Kangaroo Harvest Program (KHP) - </w:t>
      </w:r>
      <w:r w:rsidRPr="00BE6DFE">
        <w:rPr>
          <w:b/>
          <w:sz w:val="24"/>
          <w:szCs w:val="24"/>
        </w:rPr>
        <w:t>if you have any unused tags from the KPFT please dispose of them now</w:t>
      </w:r>
      <w:r w:rsidRPr="00BE6DFE">
        <w:rPr>
          <w:sz w:val="24"/>
          <w:szCs w:val="24"/>
        </w:rPr>
        <w:t>.</w:t>
      </w:r>
    </w:p>
    <w:p w14:paraId="2B74246F" w14:textId="77777777" w:rsidR="00BE6DFE" w:rsidRPr="00BE6DFE" w:rsidRDefault="00BE6DFE" w:rsidP="00E63C9B">
      <w:pPr>
        <w:rPr>
          <w:sz w:val="24"/>
          <w:szCs w:val="24"/>
        </w:rPr>
      </w:pPr>
      <w:r w:rsidRPr="00BE6DFE">
        <w:rPr>
          <w:sz w:val="24"/>
          <w:szCs w:val="24"/>
        </w:rPr>
        <w:t xml:space="preserve">The KHP kicked off on 1 October 2019, with the roll out of a new Harvester Portal, Authorisation Process, Tag Application and mobile reporting tool.  We are aware of the technical difficulties that were originally encountered, and we thank everyone for their patience and perseverance in using the new tools. </w:t>
      </w:r>
    </w:p>
    <w:p w14:paraId="21A6860D" w14:textId="77777777" w:rsidR="0031164D" w:rsidRPr="0031164D" w:rsidRDefault="0031164D" w:rsidP="00E63C9B">
      <w:pPr>
        <w:rPr>
          <w:rFonts w:ascii="Calibri" w:eastAsia="Calibri" w:hAnsi="Calibri" w:cs="Calibri"/>
          <w:b/>
          <w:noProof/>
          <w:sz w:val="24"/>
          <w:szCs w:val="24"/>
          <w:lang w:eastAsia="en-AU"/>
        </w:rPr>
      </w:pPr>
      <w:r w:rsidRPr="00DF4F76">
        <w:rPr>
          <w:rFonts w:ascii="Calibri" w:eastAsia="Calibri" w:hAnsi="Calibri" w:cs="Calibri"/>
          <w:b/>
          <w:noProof/>
          <w:color w:val="4472C4" w:themeColor="accent1"/>
          <w:sz w:val="24"/>
          <w:szCs w:val="24"/>
          <w:lang w:eastAsia="en-AU"/>
        </w:rPr>
        <w:t xml:space="preserve">2019 Summary </w:t>
      </w:r>
    </w:p>
    <w:p w14:paraId="0C715E64" w14:textId="1BFA8B3D" w:rsidR="0031164D" w:rsidRDefault="00E43C16" w:rsidP="00E63C9B">
      <w:pPr>
        <w:textAlignment w:val="baseline"/>
        <w:rPr>
          <w:rFonts w:ascii="Calibri" w:eastAsia="Calibri" w:hAnsi="Calibri" w:cs="Calibri"/>
          <w:noProof/>
          <w:sz w:val="24"/>
          <w:szCs w:val="24"/>
          <w:lang w:eastAsia="en-AU"/>
        </w:rPr>
      </w:pPr>
      <w:r>
        <w:rPr>
          <w:rFonts w:ascii="Calibri" w:eastAsia="Calibri" w:hAnsi="Calibri" w:cs="Calibri"/>
          <w:noProof/>
          <w:sz w:val="24"/>
          <w:szCs w:val="24"/>
          <w:lang w:eastAsia="en-AU"/>
        </w:rPr>
        <w:t>A</w:t>
      </w:r>
      <w:r w:rsidR="0031164D">
        <w:rPr>
          <w:rFonts w:ascii="Calibri" w:eastAsia="Calibri" w:hAnsi="Calibri" w:cs="Calibri"/>
          <w:noProof/>
          <w:sz w:val="24"/>
          <w:szCs w:val="24"/>
          <w:lang w:eastAsia="en-AU"/>
        </w:rPr>
        <w:t xml:space="preserve">s </w:t>
      </w:r>
      <w:r>
        <w:rPr>
          <w:rFonts w:ascii="Calibri" w:eastAsia="Calibri" w:hAnsi="Calibri" w:cs="Calibri"/>
          <w:noProof/>
          <w:sz w:val="24"/>
          <w:szCs w:val="24"/>
          <w:lang w:eastAsia="en-AU"/>
        </w:rPr>
        <w:t>of</w:t>
      </w:r>
      <w:r w:rsidR="00F22802">
        <w:rPr>
          <w:rFonts w:ascii="Calibri" w:eastAsia="Calibri" w:hAnsi="Calibri" w:cs="Calibri"/>
          <w:noProof/>
          <w:sz w:val="24"/>
          <w:szCs w:val="24"/>
          <w:lang w:eastAsia="en-AU"/>
        </w:rPr>
        <w:t xml:space="preserve"> 10 December 2019</w:t>
      </w:r>
      <w:r>
        <w:rPr>
          <w:rFonts w:ascii="Calibri" w:eastAsia="Calibri" w:hAnsi="Calibri" w:cs="Calibri"/>
          <w:noProof/>
          <w:sz w:val="24"/>
          <w:szCs w:val="24"/>
          <w:lang w:eastAsia="en-AU"/>
        </w:rPr>
        <w:t xml:space="preserve">, the KHP </w:t>
      </w:r>
      <w:r w:rsidR="006446B0">
        <w:rPr>
          <w:rFonts w:ascii="Calibri" w:eastAsia="Calibri" w:hAnsi="Calibri" w:cs="Calibri"/>
          <w:noProof/>
          <w:sz w:val="24"/>
          <w:szCs w:val="24"/>
          <w:lang w:eastAsia="en-AU"/>
        </w:rPr>
        <w:t>has</w:t>
      </w:r>
      <w:r w:rsidR="0031164D">
        <w:rPr>
          <w:rFonts w:ascii="Calibri" w:eastAsia="Calibri" w:hAnsi="Calibri" w:cs="Calibri"/>
          <w:noProof/>
          <w:sz w:val="24"/>
          <w:szCs w:val="24"/>
          <w:lang w:eastAsia="en-AU"/>
        </w:rPr>
        <w:t>:</w:t>
      </w:r>
    </w:p>
    <w:p w14:paraId="743EE89C" w14:textId="56880F0C" w:rsidR="0031164D" w:rsidRDefault="006446B0" w:rsidP="00E63C9B">
      <w:pPr>
        <w:pStyle w:val="ListParagraph"/>
        <w:numPr>
          <w:ilvl w:val="0"/>
          <w:numId w:val="1"/>
        </w:numPr>
        <w:textAlignment w:val="baseline"/>
        <w:rPr>
          <w:rFonts w:ascii="Calibri" w:eastAsia="Calibri" w:hAnsi="Calibri" w:cs="Calibri"/>
          <w:noProof/>
          <w:color w:val="auto"/>
          <w:sz w:val="24"/>
          <w:szCs w:val="24"/>
          <w:lang w:eastAsia="en-AU"/>
        </w:rPr>
      </w:pPr>
      <w:r>
        <w:rPr>
          <w:rFonts w:ascii="Calibri" w:eastAsia="Calibri" w:hAnsi="Calibri" w:cs="Calibri"/>
          <w:noProof/>
          <w:color w:val="auto"/>
          <w:sz w:val="24"/>
          <w:szCs w:val="24"/>
          <w:lang w:eastAsia="en-AU"/>
        </w:rPr>
        <w:t>authorised</w:t>
      </w:r>
      <w:r w:rsidRPr="005131B8">
        <w:rPr>
          <w:rFonts w:ascii="Calibri" w:eastAsia="Calibri" w:hAnsi="Calibri" w:cs="Calibri"/>
          <w:noProof/>
          <w:color w:val="auto"/>
          <w:sz w:val="24"/>
          <w:szCs w:val="24"/>
          <w:lang w:eastAsia="en-AU"/>
        </w:rPr>
        <w:t xml:space="preserve"> </w:t>
      </w:r>
      <w:r w:rsidR="0031164D" w:rsidRPr="00F22802">
        <w:rPr>
          <w:rFonts w:ascii="Calibri" w:eastAsia="Calibri" w:hAnsi="Calibri" w:cs="Calibri"/>
          <w:b/>
          <w:noProof/>
          <w:color w:val="auto"/>
          <w:sz w:val="24"/>
          <w:szCs w:val="24"/>
          <w:lang w:eastAsia="en-AU"/>
        </w:rPr>
        <w:t>58</w:t>
      </w:r>
      <w:r w:rsidR="0031164D" w:rsidRPr="00F22802">
        <w:rPr>
          <w:rFonts w:ascii="Calibri" w:eastAsia="Calibri" w:hAnsi="Calibri" w:cs="Calibri"/>
          <w:noProof/>
          <w:color w:val="auto"/>
          <w:sz w:val="24"/>
          <w:szCs w:val="24"/>
          <w:lang w:eastAsia="en-AU"/>
        </w:rPr>
        <w:t xml:space="preserve"> </w:t>
      </w:r>
      <w:r w:rsidR="0031164D" w:rsidRPr="005131B8">
        <w:rPr>
          <w:rFonts w:ascii="Calibri" w:eastAsia="Calibri" w:hAnsi="Calibri" w:cs="Calibri"/>
          <w:noProof/>
          <w:color w:val="auto"/>
          <w:sz w:val="24"/>
          <w:szCs w:val="24"/>
          <w:lang w:eastAsia="en-AU"/>
        </w:rPr>
        <w:t>harvesters</w:t>
      </w:r>
    </w:p>
    <w:p w14:paraId="2C6E910C" w14:textId="33CBAA5A" w:rsidR="0031164D" w:rsidRDefault="006A57D7" w:rsidP="00E63C9B">
      <w:pPr>
        <w:pStyle w:val="ListParagraph"/>
        <w:numPr>
          <w:ilvl w:val="0"/>
          <w:numId w:val="1"/>
        </w:numPr>
        <w:textAlignment w:val="baseline"/>
        <w:rPr>
          <w:rFonts w:ascii="Calibri" w:eastAsia="Calibri" w:hAnsi="Calibri" w:cs="Calibri"/>
          <w:noProof/>
          <w:color w:val="auto"/>
          <w:sz w:val="24"/>
          <w:szCs w:val="24"/>
          <w:lang w:eastAsia="en-AU"/>
        </w:rPr>
      </w:pPr>
      <w:r>
        <w:rPr>
          <w:rFonts w:ascii="Calibri" w:eastAsia="Calibri" w:hAnsi="Calibri" w:cs="Calibri"/>
          <w:b/>
          <w:noProof/>
          <w:color w:val="auto"/>
          <w:sz w:val="24"/>
          <w:szCs w:val="24"/>
          <w:lang w:eastAsia="en-AU"/>
        </w:rPr>
        <w:t>31</w:t>
      </w:r>
      <w:r w:rsidR="00037698">
        <w:rPr>
          <w:rFonts w:ascii="Calibri" w:eastAsia="Calibri" w:hAnsi="Calibri" w:cs="Calibri"/>
          <w:b/>
          <w:noProof/>
          <w:color w:val="auto"/>
          <w:sz w:val="24"/>
          <w:szCs w:val="24"/>
          <w:lang w:eastAsia="en-AU"/>
        </w:rPr>
        <w:t xml:space="preserve"> </w:t>
      </w:r>
      <w:r w:rsidR="006446B0" w:rsidRPr="00F05A18">
        <w:rPr>
          <w:rFonts w:ascii="Calibri" w:eastAsia="Calibri" w:hAnsi="Calibri" w:cs="Calibri"/>
          <w:noProof/>
          <w:color w:val="auto"/>
          <w:sz w:val="24"/>
          <w:szCs w:val="24"/>
          <w:lang w:eastAsia="en-AU"/>
        </w:rPr>
        <w:t xml:space="preserve">active </w:t>
      </w:r>
      <w:r w:rsidR="00037698" w:rsidRPr="00037698">
        <w:rPr>
          <w:rFonts w:ascii="Calibri" w:eastAsia="Calibri" w:hAnsi="Calibri" w:cs="Calibri"/>
          <w:noProof/>
          <w:color w:val="auto"/>
          <w:sz w:val="24"/>
          <w:szCs w:val="24"/>
          <w:lang w:eastAsia="en-AU"/>
        </w:rPr>
        <w:t>authorised harvesters</w:t>
      </w:r>
      <w:r w:rsidR="0031164D" w:rsidRPr="00AB6EB1">
        <w:rPr>
          <w:rFonts w:ascii="Calibri" w:eastAsia="Calibri" w:hAnsi="Calibri" w:cs="Calibri"/>
          <w:b/>
          <w:noProof/>
          <w:color w:val="C00000"/>
          <w:sz w:val="24"/>
          <w:szCs w:val="24"/>
          <w:lang w:eastAsia="en-AU"/>
        </w:rPr>
        <w:t xml:space="preserve"> </w:t>
      </w:r>
    </w:p>
    <w:p w14:paraId="28BF5440" w14:textId="27530D26" w:rsidR="0031164D" w:rsidRDefault="006446B0" w:rsidP="00E63C9B">
      <w:pPr>
        <w:pStyle w:val="ListParagraph"/>
        <w:numPr>
          <w:ilvl w:val="0"/>
          <w:numId w:val="1"/>
        </w:numPr>
        <w:textAlignment w:val="baseline"/>
        <w:rPr>
          <w:rFonts w:ascii="Calibri" w:eastAsia="Calibri" w:hAnsi="Calibri" w:cs="Calibri"/>
          <w:noProof/>
          <w:color w:val="auto"/>
          <w:sz w:val="24"/>
          <w:szCs w:val="24"/>
          <w:lang w:eastAsia="en-AU"/>
        </w:rPr>
      </w:pPr>
      <w:r>
        <w:rPr>
          <w:rFonts w:ascii="Calibri" w:eastAsia="Calibri" w:hAnsi="Calibri" w:cs="Calibri"/>
          <w:noProof/>
          <w:color w:val="auto"/>
          <w:sz w:val="24"/>
          <w:szCs w:val="24"/>
          <w:lang w:eastAsia="en-AU"/>
        </w:rPr>
        <w:t>i</w:t>
      </w:r>
      <w:r w:rsidRPr="00F05A18">
        <w:rPr>
          <w:rFonts w:ascii="Calibri" w:eastAsia="Calibri" w:hAnsi="Calibri" w:cs="Calibri"/>
          <w:noProof/>
          <w:color w:val="auto"/>
          <w:sz w:val="24"/>
          <w:szCs w:val="24"/>
          <w:lang w:eastAsia="en-AU"/>
        </w:rPr>
        <w:t xml:space="preserve">ssued </w:t>
      </w:r>
      <w:r w:rsidR="0031164D" w:rsidRPr="00DC4D91">
        <w:rPr>
          <w:rFonts w:ascii="Calibri" w:eastAsia="Calibri" w:hAnsi="Calibri" w:cs="Calibri"/>
          <w:b/>
          <w:noProof/>
          <w:color w:val="auto"/>
          <w:sz w:val="24"/>
          <w:szCs w:val="24"/>
          <w:lang w:eastAsia="en-AU"/>
        </w:rPr>
        <w:t>12,</w:t>
      </w:r>
      <w:r w:rsidR="00DC4D91" w:rsidRPr="00DC4D91">
        <w:rPr>
          <w:rFonts w:ascii="Calibri" w:eastAsia="Calibri" w:hAnsi="Calibri" w:cs="Calibri"/>
          <w:b/>
          <w:noProof/>
          <w:color w:val="auto"/>
          <w:sz w:val="24"/>
          <w:szCs w:val="24"/>
          <w:lang w:eastAsia="en-AU"/>
        </w:rPr>
        <w:t>270</w:t>
      </w:r>
      <w:r w:rsidR="0031164D" w:rsidRPr="00AB6EB1">
        <w:rPr>
          <w:rFonts w:ascii="Calibri" w:eastAsia="Calibri" w:hAnsi="Calibri" w:cs="Calibri"/>
          <w:noProof/>
          <w:color w:val="C00000"/>
          <w:sz w:val="24"/>
          <w:szCs w:val="24"/>
          <w:lang w:eastAsia="en-AU"/>
        </w:rPr>
        <w:t xml:space="preserve"> </w:t>
      </w:r>
      <w:r w:rsidR="0031164D">
        <w:rPr>
          <w:rFonts w:ascii="Calibri" w:eastAsia="Calibri" w:hAnsi="Calibri" w:cs="Calibri"/>
          <w:noProof/>
          <w:color w:val="auto"/>
          <w:sz w:val="24"/>
          <w:szCs w:val="24"/>
          <w:lang w:eastAsia="en-AU"/>
        </w:rPr>
        <w:t>tags across the state (Central and North East supply was allocated by end October)</w:t>
      </w:r>
    </w:p>
    <w:p w14:paraId="4F0FDB63" w14:textId="382C251A" w:rsidR="0031164D" w:rsidRDefault="00DC4D91" w:rsidP="00E63C9B">
      <w:pPr>
        <w:pStyle w:val="ListParagraph"/>
        <w:numPr>
          <w:ilvl w:val="0"/>
          <w:numId w:val="1"/>
        </w:numPr>
        <w:textAlignment w:val="baseline"/>
        <w:rPr>
          <w:rFonts w:ascii="Calibri" w:eastAsia="Calibri" w:hAnsi="Calibri" w:cs="Calibri"/>
          <w:noProof/>
          <w:color w:val="auto"/>
          <w:sz w:val="24"/>
          <w:szCs w:val="24"/>
          <w:lang w:eastAsia="en-AU"/>
        </w:rPr>
      </w:pPr>
      <w:r w:rsidRPr="00DC4D91">
        <w:rPr>
          <w:rFonts w:ascii="Calibri" w:eastAsia="Calibri" w:hAnsi="Calibri" w:cs="Calibri"/>
          <w:b/>
          <w:noProof/>
          <w:color w:val="auto"/>
          <w:sz w:val="24"/>
          <w:szCs w:val="24"/>
          <w:lang w:eastAsia="en-AU"/>
        </w:rPr>
        <w:t>5</w:t>
      </w:r>
      <w:r w:rsidR="0031164D" w:rsidRPr="00DC4D91">
        <w:rPr>
          <w:rFonts w:ascii="Calibri" w:eastAsia="Calibri" w:hAnsi="Calibri" w:cs="Calibri"/>
          <w:b/>
          <w:noProof/>
          <w:color w:val="auto"/>
          <w:sz w:val="24"/>
          <w:szCs w:val="24"/>
          <w:lang w:eastAsia="en-AU"/>
        </w:rPr>
        <w:t>,8</w:t>
      </w:r>
      <w:r w:rsidRPr="00DC4D91">
        <w:rPr>
          <w:rFonts w:ascii="Calibri" w:eastAsia="Calibri" w:hAnsi="Calibri" w:cs="Calibri"/>
          <w:b/>
          <w:noProof/>
          <w:color w:val="auto"/>
          <w:sz w:val="24"/>
          <w:szCs w:val="24"/>
          <w:lang w:eastAsia="en-AU"/>
        </w:rPr>
        <w:t>00</w:t>
      </w:r>
      <w:r w:rsidR="0031164D" w:rsidRPr="00AB6EB1">
        <w:rPr>
          <w:rFonts w:ascii="Calibri" w:eastAsia="Calibri" w:hAnsi="Calibri" w:cs="Calibri"/>
          <w:noProof/>
          <w:color w:val="C00000"/>
          <w:sz w:val="24"/>
          <w:szCs w:val="24"/>
          <w:lang w:eastAsia="en-AU"/>
        </w:rPr>
        <w:t xml:space="preserve"> </w:t>
      </w:r>
      <w:r w:rsidR="006446B0" w:rsidRPr="00F05A18">
        <w:rPr>
          <w:rFonts w:ascii="Calibri" w:eastAsia="Calibri" w:hAnsi="Calibri" w:cs="Calibri"/>
          <w:noProof/>
          <w:color w:val="auto"/>
          <w:sz w:val="24"/>
          <w:szCs w:val="24"/>
          <w:lang w:eastAsia="en-AU"/>
        </w:rPr>
        <w:t>used</w:t>
      </w:r>
      <w:r w:rsidR="008E22F9" w:rsidRPr="00F05A18">
        <w:rPr>
          <w:rFonts w:ascii="Calibri" w:eastAsia="Calibri" w:hAnsi="Calibri" w:cs="Calibri"/>
          <w:noProof/>
          <w:color w:val="auto"/>
          <w:sz w:val="24"/>
          <w:szCs w:val="24"/>
          <w:lang w:eastAsia="en-AU"/>
        </w:rPr>
        <w:t xml:space="preserve"> / consumed</w:t>
      </w:r>
      <w:r w:rsidR="006446B0" w:rsidRPr="00F05A18">
        <w:rPr>
          <w:rFonts w:ascii="Calibri" w:eastAsia="Calibri" w:hAnsi="Calibri" w:cs="Calibri"/>
          <w:noProof/>
          <w:color w:val="auto"/>
          <w:sz w:val="24"/>
          <w:szCs w:val="24"/>
          <w:lang w:eastAsia="en-AU"/>
        </w:rPr>
        <w:t xml:space="preserve"> </w:t>
      </w:r>
      <w:r w:rsidR="0031164D">
        <w:rPr>
          <w:rFonts w:ascii="Calibri" w:eastAsia="Calibri" w:hAnsi="Calibri" w:cs="Calibri"/>
          <w:noProof/>
          <w:color w:val="auto"/>
          <w:sz w:val="24"/>
          <w:szCs w:val="24"/>
          <w:lang w:eastAsia="en-AU"/>
        </w:rPr>
        <w:t xml:space="preserve">tags </w:t>
      </w:r>
    </w:p>
    <w:p w14:paraId="2E605163" w14:textId="75CA152C" w:rsidR="00037698" w:rsidRDefault="006446B0" w:rsidP="00E63C9B">
      <w:pPr>
        <w:pStyle w:val="ListParagraph"/>
        <w:numPr>
          <w:ilvl w:val="0"/>
          <w:numId w:val="1"/>
        </w:numPr>
        <w:textAlignment w:val="baseline"/>
        <w:rPr>
          <w:rFonts w:ascii="Calibri" w:eastAsia="Calibri" w:hAnsi="Calibri" w:cs="Calibri"/>
          <w:noProof/>
          <w:color w:val="auto"/>
          <w:sz w:val="24"/>
          <w:szCs w:val="24"/>
          <w:lang w:eastAsia="en-AU"/>
        </w:rPr>
      </w:pPr>
      <w:r>
        <w:rPr>
          <w:rFonts w:ascii="Calibri" w:eastAsia="Calibri" w:hAnsi="Calibri" w:cs="Calibri"/>
          <w:noProof/>
          <w:color w:val="auto"/>
          <w:sz w:val="24"/>
          <w:szCs w:val="24"/>
          <w:lang w:eastAsia="en-AU"/>
        </w:rPr>
        <w:t>h</w:t>
      </w:r>
      <w:r w:rsidRPr="00F05A18">
        <w:rPr>
          <w:rFonts w:ascii="Calibri" w:eastAsia="Calibri" w:hAnsi="Calibri" w:cs="Calibri"/>
          <w:noProof/>
          <w:color w:val="auto"/>
          <w:sz w:val="24"/>
          <w:szCs w:val="24"/>
          <w:lang w:eastAsia="en-AU"/>
        </w:rPr>
        <w:t xml:space="preserve">arvested </w:t>
      </w:r>
      <w:r w:rsidR="0031164D" w:rsidRPr="00037698">
        <w:rPr>
          <w:rFonts w:ascii="Calibri" w:eastAsia="Calibri" w:hAnsi="Calibri" w:cs="Calibri"/>
          <w:b/>
          <w:noProof/>
          <w:color w:val="auto"/>
          <w:sz w:val="24"/>
          <w:szCs w:val="24"/>
          <w:lang w:eastAsia="en-AU"/>
        </w:rPr>
        <w:t xml:space="preserve">1,189 </w:t>
      </w:r>
      <w:r w:rsidR="00E43C16">
        <w:rPr>
          <w:rFonts w:ascii="Calibri" w:eastAsia="Calibri" w:hAnsi="Calibri" w:cs="Calibri"/>
          <w:noProof/>
          <w:color w:val="auto"/>
          <w:sz w:val="24"/>
          <w:szCs w:val="24"/>
          <w:lang w:eastAsia="en-AU"/>
        </w:rPr>
        <w:t>kangaroos</w:t>
      </w:r>
      <w:r w:rsidR="00E43C16" w:rsidRPr="00037698">
        <w:rPr>
          <w:rFonts w:ascii="Calibri" w:eastAsia="Calibri" w:hAnsi="Calibri" w:cs="Calibri"/>
          <w:noProof/>
          <w:color w:val="auto"/>
          <w:sz w:val="24"/>
          <w:szCs w:val="24"/>
          <w:lang w:eastAsia="en-AU"/>
        </w:rPr>
        <w:t xml:space="preserve"> </w:t>
      </w:r>
      <w:r w:rsidR="0031164D" w:rsidRPr="00037698">
        <w:rPr>
          <w:rFonts w:ascii="Calibri" w:eastAsia="Calibri" w:hAnsi="Calibri" w:cs="Calibri"/>
          <w:noProof/>
          <w:color w:val="auto"/>
          <w:sz w:val="24"/>
          <w:szCs w:val="24"/>
          <w:lang w:eastAsia="en-AU"/>
        </w:rPr>
        <w:t>in October,</w:t>
      </w:r>
      <w:r w:rsidR="0031164D" w:rsidRPr="00037698">
        <w:rPr>
          <w:rFonts w:ascii="Calibri" w:eastAsia="Calibri" w:hAnsi="Calibri" w:cs="Calibri"/>
          <w:b/>
          <w:noProof/>
          <w:color w:val="auto"/>
          <w:sz w:val="24"/>
          <w:szCs w:val="24"/>
          <w:lang w:eastAsia="en-AU"/>
        </w:rPr>
        <w:t xml:space="preserve"> </w:t>
      </w:r>
      <w:r w:rsidR="00DC4D91" w:rsidRPr="00037698">
        <w:rPr>
          <w:rFonts w:ascii="Calibri" w:eastAsia="Calibri" w:hAnsi="Calibri" w:cs="Calibri"/>
          <w:b/>
          <w:noProof/>
          <w:color w:val="auto"/>
          <w:sz w:val="24"/>
          <w:szCs w:val="24"/>
          <w:lang w:eastAsia="en-AU"/>
        </w:rPr>
        <w:t>3</w:t>
      </w:r>
      <w:r w:rsidR="0031164D" w:rsidRPr="00037698">
        <w:rPr>
          <w:rFonts w:ascii="Calibri" w:eastAsia="Calibri" w:hAnsi="Calibri" w:cs="Calibri"/>
          <w:b/>
          <w:noProof/>
          <w:color w:val="auto"/>
          <w:sz w:val="24"/>
          <w:szCs w:val="24"/>
          <w:lang w:eastAsia="en-AU"/>
        </w:rPr>
        <w:t>,</w:t>
      </w:r>
      <w:r w:rsidR="00DC4D91" w:rsidRPr="00037698">
        <w:rPr>
          <w:rFonts w:ascii="Calibri" w:eastAsia="Calibri" w:hAnsi="Calibri" w:cs="Calibri"/>
          <w:b/>
          <w:noProof/>
          <w:color w:val="auto"/>
          <w:sz w:val="24"/>
          <w:szCs w:val="24"/>
          <w:lang w:eastAsia="en-AU"/>
        </w:rPr>
        <w:t>393</w:t>
      </w:r>
      <w:r w:rsidR="0031164D" w:rsidRPr="00037698">
        <w:rPr>
          <w:rFonts w:ascii="Calibri" w:eastAsia="Calibri" w:hAnsi="Calibri" w:cs="Calibri"/>
          <w:b/>
          <w:noProof/>
          <w:color w:val="auto"/>
          <w:sz w:val="24"/>
          <w:szCs w:val="24"/>
          <w:lang w:eastAsia="en-AU"/>
        </w:rPr>
        <w:t xml:space="preserve"> </w:t>
      </w:r>
      <w:r w:rsidR="0031164D" w:rsidRPr="00037698">
        <w:rPr>
          <w:rFonts w:ascii="Calibri" w:eastAsia="Calibri" w:hAnsi="Calibri" w:cs="Calibri"/>
          <w:noProof/>
          <w:color w:val="auto"/>
          <w:sz w:val="24"/>
          <w:szCs w:val="24"/>
          <w:lang w:eastAsia="en-AU"/>
        </w:rPr>
        <w:t xml:space="preserve">in November, and </w:t>
      </w:r>
      <w:r w:rsidR="00DC4D91" w:rsidRPr="00037698">
        <w:rPr>
          <w:rFonts w:ascii="Calibri" w:eastAsia="Calibri" w:hAnsi="Calibri" w:cs="Calibri"/>
          <w:b/>
          <w:noProof/>
          <w:color w:val="auto"/>
          <w:sz w:val="24"/>
          <w:szCs w:val="24"/>
          <w:lang w:eastAsia="en-AU"/>
        </w:rPr>
        <w:t>1,218</w:t>
      </w:r>
      <w:r>
        <w:rPr>
          <w:rFonts w:ascii="Calibri" w:eastAsia="Calibri" w:hAnsi="Calibri" w:cs="Calibri"/>
          <w:b/>
          <w:noProof/>
          <w:color w:val="auto"/>
          <w:sz w:val="24"/>
          <w:szCs w:val="24"/>
          <w:lang w:eastAsia="en-AU"/>
        </w:rPr>
        <w:t xml:space="preserve"> </w:t>
      </w:r>
      <w:r w:rsidRPr="00F05A18">
        <w:rPr>
          <w:rFonts w:ascii="Calibri" w:eastAsia="Calibri" w:hAnsi="Calibri" w:cs="Calibri"/>
          <w:noProof/>
          <w:color w:val="auto"/>
          <w:sz w:val="24"/>
          <w:szCs w:val="24"/>
          <w:lang w:eastAsia="en-AU"/>
        </w:rPr>
        <w:t>kangaroos harvested</w:t>
      </w:r>
      <w:r w:rsidR="0031164D" w:rsidRPr="00037698">
        <w:rPr>
          <w:rFonts w:ascii="Calibri" w:eastAsia="Calibri" w:hAnsi="Calibri" w:cs="Calibri"/>
          <w:b/>
          <w:noProof/>
          <w:color w:val="C00000"/>
          <w:sz w:val="24"/>
          <w:szCs w:val="24"/>
          <w:lang w:eastAsia="en-AU"/>
        </w:rPr>
        <w:t xml:space="preserve"> </w:t>
      </w:r>
      <w:r w:rsidR="00AD5826">
        <w:rPr>
          <w:rFonts w:ascii="Calibri" w:eastAsia="Calibri" w:hAnsi="Calibri" w:cs="Calibri"/>
          <w:noProof/>
          <w:color w:val="auto"/>
          <w:sz w:val="24"/>
          <w:szCs w:val="24"/>
          <w:lang w:eastAsia="en-AU"/>
        </w:rPr>
        <w:t xml:space="preserve">to 9 </w:t>
      </w:r>
      <w:r>
        <w:rPr>
          <w:rFonts w:ascii="Calibri" w:eastAsia="Calibri" w:hAnsi="Calibri" w:cs="Calibri"/>
          <w:noProof/>
          <w:color w:val="auto"/>
          <w:sz w:val="24"/>
          <w:szCs w:val="24"/>
          <w:lang w:eastAsia="en-AU"/>
        </w:rPr>
        <w:t xml:space="preserve"> December</w:t>
      </w:r>
      <w:r w:rsidR="0031164D" w:rsidRPr="00037698">
        <w:rPr>
          <w:rFonts w:ascii="Calibri" w:eastAsia="Calibri" w:hAnsi="Calibri" w:cs="Calibri"/>
          <w:noProof/>
          <w:color w:val="auto"/>
          <w:sz w:val="24"/>
          <w:szCs w:val="24"/>
          <w:lang w:eastAsia="en-AU"/>
        </w:rPr>
        <w:t xml:space="preserve">. </w:t>
      </w:r>
    </w:p>
    <w:p w14:paraId="401F166F" w14:textId="554E6D4E" w:rsidR="008E22F9" w:rsidRPr="00F05A18" w:rsidRDefault="0031164D">
      <w:pPr>
        <w:pStyle w:val="ListParagraph"/>
        <w:numPr>
          <w:ilvl w:val="0"/>
          <w:numId w:val="1"/>
        </w:numPr>
        <w:textAlignment w:val="baseline"/>
        <w:rPr>
          <w:rFonts w:ascii="Calibri" w:eastAsia="Calibri" w:hAnsi="Calibri" w:cs="Calibri"/>
          <w:noProof/>
          <w:color w:val="auto"/>
          <w:sz w:val="24"/>
          <w:szCs w:val="24"/>
          <w:lang w:eastAsia="en-AU"/>
        </w:rPr>
      </w:pPr>
      <w:r w:rsidRPr="00037698">
        <w:rPr>
          <w:rFonts w:ascii="Calibri" w:eastAsia="Calibri" w:hAnsi="Calibri" w:cs="Calibri"/>
          <w:b/>
          <w:noProof/>
          <w:color w:val="auto"/>
          <w:sz w:val="24"/>
          <w:szCs w:val="24"/>
          <w:lang w:eastAsia="en-AU"/>
        </w:rPr>
        <w:t>77</w:t>
      </w:r>
      <w:r w:rsidRPr="00037698">
        <w:rPr>
          <w:rFonts w:ascii="Calibri" w:eastAsia="Calibri" w:hAnsi="Calibri" w:cs="Calibri"/>
          <w:noProof/>
          <w:color w:val="auto"/>
          <w:sz w:val="24"/>
          <w:szCs w:val="24"/>
          <w:lang w:eastAsia="en-AU"/>
        </w:rPr>
        <w:t xml:space="preserve"> harvest jobs</w:t>
      </w:r>
      <w:r w:rsidR="00037698">
        <w:rPr>
          <w:rFonts w:ascii="Calibri" w:eastAsia="Calibri" w:hAnsi="Calibri" w:cs="Calibri"/>
          <w:noProof/>
          <w:color w:val="auto"/>
          <w:sz w:val="24"/>
          <w:szCs w:val="24"/>
          <w:lang w:eastAsia="en-AU"/>
        </w:rPr>
        <w:t xml:space="preserve"> </w:t>
      </w:r>
      <w:r w:rsidR="006446B0">
        <w:rPr>
          <w:rFonts w:ascii="Calibri" w:eastAsia="Calibri" w:hAnsi="Calibri" w:cs="Calibri"/>
          <w:noProof/>
          <w:color w:val="auto"/>
          <w:sz w:val="24"/>
          <w:szCs w:val="24"/>
          <w:lang w:eastAsia="en-AU"/>
        </w:rPr>
        <w:t>completed</w:t>
      </w:r>
      <w:r w:rsidR="006446B0" w:rsidRPr="00037698">
        <w:rPr>
          <w:rFonts w:ascii="Calibri" w:eastAsia="Calibri" w:hAnsi="Calibri" w:cs="Calibri"/>
          <w:noProof/>
          <w:color w:val="auto"/>
          <w:sz w:val="24"/>
          <w:szCs w:val="24"/>
          <w:lang w:eastAsia="en-AU"/>
        </w:rPr>
        <w:t xml:space="preserve"> </w:t>
      </w:r>
      <w:r w:rsidRPr="00037698">
        <w:rPr>
          <w:rFonts w:ascii="Calibri" w:eastAsia="Calibri" w:hAnsi="Calibri" w:cs="Calibri"/>
          <w:noProof/>
          <w:color w:val="auto"/>
          <w:sz w:val="24"/>
          <w:szCs w:val="24"/>
          <w:lang w:eastAsia="en-AU"/>
        </w:rPr>
        <w:t>in October,</w:t>
      </w:r>
      <w:r w:rsidR="00DC4D91" w:rsidRPr="00037698">
        <w:rPr>
          <w:rFonts w:ascii="Calibri" w:eastAsia="Calibri" w:hAnsi="Calibri" w:cs="Calibri"/>
          <w:noProof/>
          <w:color w:val="auto"/>
          <w:sz w:val="24"/>
          <w:szCs w:val="24"/>
          <w:lang w:eastAsia="en-AU"/>
        </w:rPr>
        <w:t xml:space="preserve"> </w:t>
      </w:r>
      <w:r w:rsidR="00DC4D91" w:rsidRPr="00037698">
        <w:rPr>
          <w:rFonts w:ascii="Calibri" w:eastAsia="Calibri" w:hAnsi="Calibri" w:cs="Calibri"/>
          <w:b/>
          <w:noProof/>
          <w:color w:val="auto"/>
          <w:sz w:val="24"/>
          <w:szCs w:val="24"/>
          <w:lang w:eastAsia="en-AU"/>
        </w:rPr>
        <w:t>210</w:t>
      </w:r>
      <w:r w:rsidRPr="00037698">
        <w:rPr>
          <w:rFonts w:ascii="Calibri" w:eastAsia="Calibri" w:hAnsi="Calibri" w:cs="Calibri"/>
          <w:b/>
          <w:noProof/>
          <w:color w:val="C00000"/>
          <w:sz w:val="24"/>
          <w:szCs w:val="24"/>
          <w:lang w:eastAsia="en-AU"/>
        </w:rPr>
        <w:t xml:space="preserve"> </w:t>
      </w:r>
      <w:r w:rsidRPr="00037698">
        <w:rPr>
          <w:rFonts w:ascii="Calibri" w:eastAsia="Calibri" w:hAnsi="Calibri" w:cs="Calibri"/>
          <w:noProof/>
          <w:color w:val="auto"/>
          <w:sz w:val="24"/>
          <w:szCs w:val="24"/>
          <w:lang w:eastAsia="en-AU"/>
        </w:rPr>
        <w:t>in November and</w:t>
      </w:r>
      <w:r w:rsidRPr="00037698">
        <w:rPr>
          <w:rFonts w:ascii="Calibri" w:eastAsia="Calibri" w:hAnsi="Calibri" w:cs="Calibri"/>
          <w:b/>
          <w:noProof/>
          <w:color w:val="auto"/>
          <w:sz w:val="24"/>
          <w:szCs w:val="24"/>
          <w:lang w:eastAsia="en-AU"/>
        </w:rPr>
        <w:t xml:space="preserve"> </w:t>
      </w:r>
      <w:r w:rsidR="00DC4D91" w:rsidRPr="00037698">
        <w:rPr>
          <w:rFonts w:ascii="Calibri" w:eastAsia="Calibri" w:hAnsi="Calibri" w:cs="Calibri"/>
          <w:b/>
          <w:noProof/>
          <w:color w:val="auto"/>
          <w:sz w:val="24"/>
          <w:szCs w:val="24"/>
          <w:lang w:eastAsia="en-AU"/>
        </w:rPr>
        <w:t>85</w:t>
      </w:r>
      <w:r w:rsidRPr="00037698">
        <w:rPr>
          <w:rFonts w:ascii="Calibri" w:eastAsia="Calibri" w:hAnsi="Calibri" w:cs="Calibri"/>
          <w:b/>
          <w:noProof/>
          <w:color w:val="C00000"/>
          <w:sz w:val="24"/>
          <w:szCs w:val="24"/>
          <w:lang w:eastAsia="en-AU"/>
        </w:rPr>
        <w:t xml:space="preserve"> </w:t>
      </w:r>
      <w:r w:rsidR="00AD5826">
        <w:rPr>
          <w:rFonts w:ascii="Calibri" w:eastAsia="Calibri" w:hAnsi="Calibri" w:cs="Calibri"/>
          <w:noProof/>
          <w:color w:val="auto"/>
          <w:sz w:val="24"/>
          <w:szCs w:val="24"/>
          <w:lang w:eastAsia="en-AU"/>
        </w:rPr>
        <w:t>to 9</w:t>
      </w:r>
      <w:r w:rsidRPr="00037698">
        <w:rPr>
          <w:rFonts w:ascii="Calibri" w:eastAsia="Calibri" w:hAnsi="Calibri" w:cs="Calibri"/>
          <w:noProof/>
          <w:color w:val="auto"/>
          <w:sz w:val="24"/>
          <w:szCs w:val="24"/>
          <w:lang w:eastAsia="en-AU"/>
        </w:rPr>
        <w:t xml:space="preserve"> </w:t>
      </w:r>
      <w:r w:rsidR="006446B0">
        <w:rPr>
          <w:rFonts w:ascii="Calibri" w:eastAsia="Calibri" w:hAnsi="Calibri" w:cs="Calibri"/>
          <w:noProof/>
          <w:color w:val="auto"/>
          <w:sz w:val="24"/>
          <w:szCs w:val="24"/>
          <w:lang w:eastAsia="en-AU"/>
        </w:rPr>
        <w:t>December</w:t>
      </w:r>
      <w:r w:rsidRPr="00037698">
        <w:rPr>
          <w:rFonts w:ascii="Calibri" w:eastAsia="Calibri" w:hAnsi="Calibri" w:cs="Calibri"/>
          <w:noProof/>
          <w:color w:val="auto"/>
          <w:sz w:val="24"/>
          <w:szCs w:val="24"/>
          <w:lang w:eastAsia="en-AU"/>
        </w:rPr>
        <w:t>.</w:t>
      </w:r>
    </w:p>
    <w:p w14:paraId="03AC8781" w14:textId="6D80202F" w:rsidR="0031164D" w:rsidRPr="00037698" w:rsidRDefault="006446B0" w:rsidP="00E63C9B">
      <w:pPr>
        <w:pStyle w:val="ListParagraph"/>
        <w:numPr>
          <w:ilvl w:val="0"/>
          <w:numId w:val="1"/>
        </w:numPr>
        <w:textAlignment w:val="baseline"/>
        <w:rPr>
          <w:rFonts w:ascii="Calibri" w:eastAsia="Calibri" w:hAnsi="Calibri" w:cs="Calibri"/>
          <w:noProof/>
          <w:color w:val="auto"/>
          <w:sz w:val="24"/>
          <w:szCs w:val="24"/>
          <w:lang w:eastAsia="en-AU"/>
        </w:rPr>
      </w:pPr>
      <w:r>
        <w:rPr>
          <w:rFonts w:ascii="Calibri" w:eastAsia="Calibri" w:hAnsi="Calibri" w:cs="Calibri"/>
          <w:noProof/>
          <w:color w:val="auto"/>
          <w:sz w:val="24"/>
          <w:szCs w:val="24"/>
          <w:lang w:eastAsia="en-AU"/>
        </w:rPr>
        <w:t>An</w:t>
      </w:r>
      <w:r w:rsidRPr="00037698">
        <w:rPr>
          <w:rFonts w:ascii="Calibri" w:eastAsia="Calibri" w:hAnsi="Calibri" w:cs="Calibri"/>
          <w:noProof/>
          <w:color w:val="auto"/>
          <w:sz w:val="24"/>
          <w:szCs w:val="24"/>
          <w:lang w:eastAsia="en-AU"/>
        </w:rPr>
        <w:t xml:space="preserve"> </w:t>
      </w:r>
      <w:r w:rsidR="0031164D" w:rsidRPr="00037698">
        <w:rPr>
          <w:rFonts w:ascii="Calibri" w:eastAsia="Calibri" w:hAnsi="Calibri" w:cs="Calibri"/>
          <w:noProof/>
          <w:color w:val="auto"/>
          <w:sz w:val="24"/>
          <w:szCs w:val="24"/>
          <w:lang w:eastAsia="en-AU"/>
        </w:rPr>
        <w:t>avera</w:t>
      </w:r>
      <w:r w:rsidR="000B7F6F" w:rsidRPr="00037698">
        <w:rPr>
          <w:rFonts w:ascii="Calibri" w:eastAsia="Calibri" w:hAnsi="Calibri" w:cs="Calibri"/>
          <w:noProof/>
          <w:color w:val="auto"/>
          <w:sz w:val="24"/>
          <w:szCs w:val="24"/>
          <w:lang w:eastAsia="en-AU"/>
        </w:rPr>
        <w:t>g</w:t>
      </w:r>
      <w:r w:rsidR="0031164D" w:rsidRPr="00037698">
        <w:rPr>
          <w:rFonts w:ascii="Calibri" w:eastAsia="Calibri" w:hAnsi="Calibri" w:cs="Calibri"/>
          <w:noProof/>
          <w:color w:val="auto"/>
          <w:sz w:val="24"/>
          <w:szCs w:val="24"/>
          <w:lang w:eastAsia="en-AU"/>
        </w:rPr>
        <w:t xml:space="preserve">e of </w:t>
      </w:r>
      <w:r w:rsidRPr="00F05A18">
        <w:rPr>
          <w:rFonts w:ascii="Calibri" w:eastAsia="Calibri" w:hAnsi="Calibri" w:cs="Calibri"/>
          <w:b/>
          <w:noProof/>
          <w:color w:val="auto"/>
          <w:sz w:val="24"/>
          <w:szCs w:val="24"/>
          <w:lang w:eastAsia="en-AU"/>
        </w:rPr>
        <w:t>24</w:t>
      </w:r>
      <w:r>
        <w:rPr>
          <w:rFonts w:ascii="Calibri" w:eastAsia="Calibri" w:hAnsi="Calibri" w:cs="Calibri"/>
          <w:noProof/>
          <w:color w:val="auto"/>
          <w:sz w:val="24"/>
          <w:szCs w:val="24"/>
          <w:lang w:eastAsia="en-AU"/>
        </w:rPr>
        <w:t xml:space="preserve"> </w:t>
      </w:r>
      <w:r w:rsidR="0031164D" w:rsidRPr="00037698">
        <w:rPr>
          <w:rFonts w:ascii="Calibri" w:eastAsia="Calibri" w:hAnsi="Calibri" w:cs="Calibri"/>
          <w:noProof/>
          <w:color w:val="auto"/>
          <w:sz w:val="24"/>
          <w:szCs w:val="24"/>
          <w:lang w:eastAsia="en-AU"/>
        </w:rPr>
        <w:t xml:space="preserve">kangaroos </w:t>
      </w:r>
      <w:r w:rsidR="00037698">
        <w:rPr>
          <w:rFonts w:ascii="Calibri" w:eastAsia="Calibri" w:hAnsi="Calibri" w:cs="Calibri"/>
          <w:noProof/>
          <w:color w:val="auto"/>
          <w:sz w:val="24"/>
          <w:szCs w:val="24"/>
          <w:lang w:eastAsia="en-AU"/>
        </w:rPr>
        <w:t xml:space="preserve">taken </w:t>
      </w:r>
      <w:r w:rsidR="0031164D" w:rsidRPr="00037698">
        <w:rPr>
          <w:rFonts w:ascii="Calibri" w:eastAsia="Calibri" w:hAnsi="Calibri" w:cs="Calibri"/>
          <w:noProof/>
          <w:color w:val="auto"/>
          <w:sz w:val="24"/>
          <w:szCs w:val="24"/>
          <w:lang w:eastAsia="en-AU"/>
        </w:rPr>
        <w:t>per harvest</w:t>
      </w:r>
      <w:r w:rsidR="00037698">
        <w:rPr>
          <w:rFonts w:ascii="Calibri" w:eastAsia="Calibri" w:hAnsi="Calibri" w:cs="Calibri"/>
          <w:noProof/>
          <w:color w:val="auto"/>
          <w:sz w:val="24"/>
          <w:szCs w:val="24"/>
          <w:lang w:eastAsia="en-AU"/>
        </w:rPr>
        <w:t xml:space="preserve"> job</w:t>
      </w:r>
      <w:r w:rsidR="00DC4D91" w:rsidRPr="00037698">
        <w:rPr>
          <w:rFonts w:ascii="Calibri" w:eastAsia="Calibri" w:hAnsi="Calibri" w:cs="Calibri"/>
          <w:noProof/>
          <w:color w:val="auto"/>
          <w:sz w:val="24"/>
          <w:szCs w:val="24"/>
          <w:lang w:eastAsia="en-AU"/>
        </w:rPr>
        <w:t>.</w:t>
      </w:r>
      <w:r w:rsidR="0031164D" w:rsidRPr="00037698">
        <w:rPr>
          <w:rFonts w:ascii="Calibri" w:eastAsia="Calibri" w:hAnsi="Calibri" w:cs="Calibri"/>
          <w:noProof/>
          <w:color w:val="auto"/>
          <w:sz w:val="24"/>
          <w:szCs w:val="24"/>
          <w:lang w:eastAsia="en-AU"/>
        </w:rPr>
        <w:t xml:space="preserve"> </w:t>
      </w:r>
    </w:p>
    <w:p w14:paraId="0CD717EA" w14:textId="77777777" w:rsidR="00DB755F" w:rsidRDefault="00DB755F" w:rsidP="00E63C9B">
      <w:pPr>
        <w:textAlignment w:val="baseline"/>
        <w:rPr>
          <w:rFonts w:ascii="Calibri" w:eastAsia="Calibri" w:hAnsi="Calibri" w:cs="Calibri"/>
          <w:b/>
          <w:noProof/>
          <w:sz w:val="24"/>
          <w:szCs w:val="24"/>
          <w:lang w:eastAsia="en-AU"/>
        </w:rPr>
      </w:pPr>
    </w:p>
    <w:p w14:paraId="2F2CB1D8" w14:textId="77777777" w:rsidR="009F524D" w:rsidRPr="0031164D" w:rsidRDefault="009F524D" w:rsidP="00E63C9B">
      <w:pPr>
        <w:pStyle w:val="xmsonormal"/>
        <w:rPr>
          <w:sz w:val="24"/>
          <w:szCs w:val="24"/>
        </w:rPr>
      </w:pPr>
    </w:p>
    <w:p w14:paraId="60AF653D" w14:textId="77777777" w:rsidR="008E22F9" w:rsidRDefault="008E22F9" w:rsidP="008E22F9">
      <w:pPr>
        <w:textAlignment w:val="baseline"/>
        <w:rPr>
          <w:rFonts w:ascii="Calibri" w:eastAsia="Calibri" w:hAnsi="Calibri" w:cs="Calibri"/>
          <w:b/>
          <w:noProof/>
          <w:color w:val="4472C4" w:themeColor="accent1"/>
          <w:sz w:val="24"/>
          <w:szCs w:val="24"/>
          <w:lang w:eastAsia="en-AU"/>
        </w:rPr>
      </w:pPr>
      <w:bookmarkStart w:id="1" w:name="_Hlk27473879"/>
      <w:bookmarkStart w:id="2" w:name="_Hlk27473932"/>
    </w:p>
    <w:p w14:paraId="43CBB0B9" w14:textId="77777777" w:rsidR="008E22F9" w:rsidRDefault="008E22F9" w:rsidP="008E22F9">
      <w:pPr>
        <w:textAlignment w:val="baseline"/>
        <w:rPr>
          <w:rFonts w:ascii="Calibri" w:eastAsia="Calibri" w:hAnsi="Calibri" w:cs="Calibri"/>
          <w:b/>
          <w:noProof/>
          <w:color w:val="4472C4" w:themeColor="accent1"/>
          <w:sz w:val="24"/>
          <w:szCs w:val="24"/>
          <w:lang w:eastAsia="en-AU"/>
        </w:rPr>
      </w:pPr>
      <w:r>
        <w:rPr>
          <w:rFonts w:ascii="Calibri" w:eastAsia="Calibri" w:hAnsi="Calibri" w:cs="Calibri"/>
          <w:b/>
          <w:noProof/>
          <w:color w:val="4472C4" w:themeColor="accent1"/>
          <w:sz w:val="24"/>
          <w:szCs w:val="24"/>
          <w:lang w:eastAsia="en-AU"/>
        </w:rPr>
        <w:t>Compliance</w:t>
      </w:r>
    </w:p>
    <w:p w14:paraId="784781B2" w14:textId="77777777" w:rsidR="008E22F9" w:rsidRPr="00E63C9B" w:rsidRDefault="008E22F9" w:rsidP="008E22F9">
      <w:pPr>
        <w:rPr>
          <w:sz w:val="24"/>
          <w:szCs w:val="24"/>
        </w:rPr>
      </w:pPr>
      <w:r w:rsidRPr="00E63C9B">
        <w:rPr>
          <w:sz w:val="24"/>
          <w:szCs w:val="24"/>
        </w:rPr>
        <w:t>Authorised officers have been out and about undertaking audits with harvesters to ensure compliance with the National Code and conditions of their authorisation.  Thank you to the harvesters we have engaged with to-date.</w:t>
      </w:r>
    </w:p>
    <w:p w14:paraId="6A47775B" w14:textId="77777777" w:rsidR="008E22F9" w:rsidRPr="00E63C9B" w:rsidRDefault="008E22F9" w:rsidP="008E22F9">
      <w:pPr>
        <w:rPr>
          <w:sz w:val="24"/>
          <w:szCs w:val="24"/>
        </w:rPr>
      </w:pPr>
      <w:r w:rsidRPr="00E63C9B">
        <w:rPr>
          <w:sz w:val="24"/>
          <w:szCs w:val="24"/>
        </w:rPr>
        <w:t>If harvesters are seeing or hearing of illegal activities, we encourage you to report through the Customer Service Centre on 136 186.  The future or your industry depends on you.</w:t>
      </w:r>
    </w:p>
    <w:p w14:paraId="657A872F" w14:textId="2C072533" w:rsidR="008E22F9" w:rsidRDefault="008E22F9" w:rsidP="00E63C9B">
      <w:pPr>
        <w:rPr>
          <w:rFonts w:ascii="Calibri" w:eastAsia="Calibri" w:hAnsi="Calibri" w:cs="Calibri"/>
          <w:b/>
          <w:noProof/>
          <w:color w:val="4472C4" w:themeColor="accent1"/>
          <w:sz w:val="24"/>
          <w:szCs w:val="24"/>
          <w:lang w:eastAsia="en-AU"/>
        </w:rPr>
      </w:pPr>
      <w:r w:rsidRPr="00E63C9B">
        <w:rPr>
          <w:sz w:val="24"/>
          <w:szCs w:val="24"/>
        </w:rPr>
        <w:t>We also encourage harvesters to be thoughtful of where they field-dress kangaroos.  Please ensure all offal and body parts are out-of-sight.</w:t>
      </w:r>
    </w:p>
    <w:p w14:paraId="28A0FADB" w14:textId="42D7CBEA" w:rsidR="00E63C9B" w:rsidRPr="00A0566F" w:rsidRDefault="00E63C9B" w:rsidP="00E63C9B">
      <w:r w:rsidRPr="00E63C9B">
        <w:rPr>
          <w:rFonts w:ascii="Calibri" w:eastAsia="Calibri" w:hAnsi="Calibri" w:cs="Calibri"/>
          <w:b/>
          <w:noProof/>
          <w:color w:val="4472C4" w:themeColor="accent1"/>
          <w:sz w:val="24"/>
          <w:szCs w:val="24"/>
          <w:lang w:eastAsia="en-AU"/>
        </w:rPr>
        <w:t xml:space="preserve">Competencies </w:t>
      </w:r>
    </w:p>
    <w:bookmarkEnd w:id="1"/>
    <w:p w14:paraId="42C462CC" w14:textId="687CDC65" w:rsidR="00F75C9E" w:rsidRDefault="00F75C9E" w:rsidP="00F75C9E">
      <w:pPr>
        <w:rPr>
          <w:rFonts w:ascii="Calibri" w:eastAsia="Calibri" w:hAnsi="Calibri" w:cs="Calibri"/>
          <w:noProof/>
          <w:sz w:val="24"/>
          <w:szCs w:val="24"/>
          <w:lang w:eastAsia="en-AU"/>
        </w:rPr>
      </w:pPr>
      <w:r w:rsidRPr="00E63C9B">
        <w:rPr>
          <w:rFonts w:ascii="Calibri" w:eastAsia="Calibri" w:hAnsi="Calibri" w:cs="Calibri"/>
          <w:noProof/>
          <w:sz w:val="24"/>
          <w:szCs w:val="24"/>
          <w:lang w:eastAsia="en-AU"/>
        </w:rPr>
        <w:t xml:space="preserve">All harvesters must provide evidence of both game handling and firearm proficiency competencies.  </w:t>
      </w:r>
      <w:r w:rsidR="00AD5826">
        <w:rPr>
          <w:rFonts w:ascii="Calibri" w:eastAsia="Calibri" w:hAnsi="Calibri" w:cs="Calibri"/>
          <w:noProof/>
          <w:sz w:val="24"/>
          <w:szCs w:val="24"/>
          <w:lang w:eastAsia="en-AU"/>
        </w:rPr>
        <w:t>Most have already done this, but some</w:t>
      </w:r>
      <w:r w:rsidRPr="00E63C9B">
        <w:rPr>
          <w:rFonts w:ascii="Calibri" w:eastAsia="Calibri" w:hAnsi="Calibri" w:cs="Calibri"/>
          <w:noProof/>
          <w:sz w:val="24"/>
          <w:szCs w:val="24"/>
          <w:lang w:eastAsia="en-AU"/>
        </w:rPr>
        <w:t xml:space="preserve"> were exempted because they previously harvested under the Kangaroo Pet Food Tr</w:t>
      </w:r>
      <w:r w:rsidR="007870F9">
        <w:rPr>
          <w:rFonts w:ascii="Calibri" w:eastAsia="Calibri" w:hAnsi="Calibri" w:cs="Calibri"/>
          <w:noProof/>
          <w:sz w:val="24"/>
          <w:szCs w:val="24"/>
          <w:lang w:eastAsia="en-AU"/>
        </w:rPr>
        <w:t>i</w:t>
      </w:r>
      <w:r w:rsidRPr="00E63C9B">
        <w:rPr>
          <w:rFonts w:ascii="Calibri" w:eastAsia="Calibri" w:hAnsi="Calibri" w:cs="Calibri"/>
          <w:noProof/>
          <w:sz w:val="24"/>
          <w:szCs w:val="24"/>
          <w:lang w:eastAsia="en-AU"/>
        </w:rPr>
        <w:t>al</w:t>
      </w:r>
      <w:r w:rsidR="008E22F9">
        <w:rPr>
          <w:rFonts w:ascii="Calibri" w:eastAsia="Calibri" w:hAnsi="Calibri" w:cs="Calibri"/>
          <w:noProof/>
          <w:sz w:val="24"/>
          <w:szCs w:val="24"/>
          <w:lang w:eastAsia="en-AU"/>
        </w:rPr>
        <w:t>.</w:t>
      </w:r>
      <w:r w:rsidRPr="00E63C9B">
        <w:rPr>
          <w:rFonts w:ascii="Calibri" w:eastAsia="Calibri" w:hAnsi="Calibri" w:cs="Calibri"/>
          <w:noProof/>
          <w:sz w:val="24"/>
          <w:szCs w:val="24"/>
          <w:lang w:eastAsia="en-AU"/>
        </w:rPr>
        <w:t xml:space="preserve"> </w:t>
      </w:r>
      <w:r w:rsidR="00AD5826">
        <w:rPr>
          <w:rFonts w:ascii="Calibri" w:eastAsia="Calibri" w:hAnsi="Calibri" w:cs="Calibri"/>
          <w:noProof/>
          <w:sz w:val="24"/>
          <w:szCs w:val="24"/>
          <w:lang w:eastAsia="en-AU"/>
        </w:rPr>
        <w:t xml:space="preserve"> These people should provide relevant documents (Game handling and/or firearm proficiency certificates) to kangarooharvesting@ecodev.vic.gov.au by</w:t>
      </w:r>
      <w:r w:rsidRPr="00E63C9B">
        <w:rPr>
          <w:rFonts w:ascii="Calibri" w:eastAsia="Calibri" w:hAnsi="Calibri" w:cs="Calibri"/>
          <w:noProof/>
          <w:sz w:val="24"/>
          <w:szCs w:val="24"/>
          <w:lang w:eastAsia="en-AU"/>
        </w:rPr>
        <w:t xml:space="preserve"> </w:t>
      </w:r>
      <w:r w:rsidRPr="008E22F9">
        <w:rPr>
          <w:rFonts w:ascii="Calibri" w:eastAsia="Calibri" w:hAnsi="Calibri" w:cs="Calibri"/>
          <w:b/>
          <w:noProof/>
          <w:sz w:val="24"/>
          <w:szCs w:val="24"/>
          <w:lang w:eastAsia="en-AU"/>
        </w:rPr>
        <w:t>1 January 2020</w:t>
      </w:r>
      <w:r w:rsidRPr="00F05A18">
        <w:rPr>
          <w:rFonts w:ascii="Calibri" w:eastAsia="Calibri" w:hAnsi="Calibri" w:cs="Calibri"/>
          <w:noProof/>
          <w:sz w:val="24"/>
          <w:szCs w:val="24"/>
          <w:lang w:eastAsia="en-AU"/>
        </w:rPr>
        <w:t xml:space="preserve"> to remain authorised</w:t>
      </w:r>
      <w:r w:rsidRPr="008E22F9">
        <w:rPr>
          <w:rFonts w:ascii="Calibri" w:eastAsia="Calibri" w:hAnsi="Calibri" w:cs="Calibri"/>
          <w:noProof/>
          <w:sz w:val="24"/>
          <w:szCs w:val="24"/>
          <w:lang w:eastAsia="en-AU"/>
        </w:rPr>
        <w:t>.</w:t>
      </w:r>
    </w:p>
    <w:p w14:paraId="572C17B2" w14:textId="77777777" w:rsidR="00D1073E" w:rsidRDefault="00F75C9E" w:rsidP="0093382B">
      <w:pPr>
        <w:widowControl w:val="0"/>
        <w:spacing w:after="0"/>
        <w:textAlignment w:val="baseline"/>
        <w:rPr>
          <w:rFonts w:ascii="Calibri" w:eastAsia="Calibri" w:hAnsi="Calibri" w:cs="Calibri"/>
          <w:noProof/>
          <w:sz w:val="24"/>
          <w:szCs w:val="24"/>
          <w:lang w:eastAsia="en-AU"/>
        </w:rPr>
      </w:pPr>
      <w:r>
        <w:rPr>
          <w:rFonts w:ascii="Calibri" w:eastAsia="Calibri" w:hAnsi="Calibri" w:cs="Calibri"/>
          <w:noProof/>
          <w:sz w:val="24"/>
          <w:szCs w:val="24"/>
          <w:lang w:eastAsia="en-AU"/>
        </w:rPr>
        <w:t xml:space="preserve">Sporting Shooters Association Australia are </w:t>
      </w:r>
      <w:bookmarkStart w:id="3" w:name="_Hlk27476454"/>
      <w:r>
        <w:rPr>
          <w:rFonts w:ascii="Calibri" w:eastAsia="Calibri" w:hAnsi="Calibri" w:cs="Calibri"/>
          <w:noProof/>
          <w:sz w:val="24"/>
          <w:szCs w:val="24"/>
          <w:lang w:eastAsia="en-AU"/>
        </w:rPr>
        <w:t>offering</w:t>
      </w:r>
      <w:bookmarkEnd w:id="3"/>
      <w:r>
        <w:rPr>
          <w:rFonts w:ascii="Calibri" w:eastAsia="Calibri" w:hAnsi="Calibri" w:cs="Calibri"/>
          <w:noProof/>
          <w:sz w:val="24"/>
          <w:szCs w:val="24"/>
          <w:lang w:eastAsia="en-AU"/>
        </w:rPr>
        <w:t xml:space="preserve"> firearm proficiency training.  For course dates visit: </w:t>
      </w:r>
    </w:p>
    <w:p w14:paraId="363A269D" w14:textId="70FBD3FE" w:rsidR="0093382B" w:rsidRDefault="00CF1AC6" w:rsidP="0093382B">
      <w:pPr>
        <w:widowControl w:val="0"/>
        <w:spacing w:after="0"/>
        <w:textAlignment w:val="baseline"/>
        <w:rPr>
          <w:rFonts w:ascii="Calibri" w:eastAsia="Calibri" w:hAnsi="Calibri" w:cs="Calibri"/>
          <w:b/>
          <w:noProof/>
          <w:color w:val="4472C4" w:themeColor="accent1"/>
          <w:sz w:val="24"/>
          <w:szCs w:val="24"/>
          <w:lang w:eastAsia="en-AU"/>
        </w:rPr>
      </w:pPr>
      <w:hyperlink r:id="rId10" w:history="1">
        <w:r w:rsidR="00D1073E" w:rsidRPr="00FE1DEB">
          <w:rPr>
            <w:rStyle w:val="Hyperlink"/>
            <w:rFonts w:ascii="Calibri" w:eastAsia="Calibri" w:hAnsi="Calibri" w:cs="Calibri"/>
            <w:noProof/>
            <w:sz w:val="24"/>
            <w:szCs w:val="24"/>
            <w:lang w:eastAsia="en-AU"/>
          </w:rPr>
          <w:t>www.ssaa.com.au</w:t>
        </w:r>
      </w:hyperlink>
      <w:r w:rsidR="00F75C9E">
        <w:rPr>
          <w:rFonts w:ascii="Calibri" w:eastAsia="Calibri" w:hAnsi="Calibri" w:cs="Calibri"/>
          <w:noProof/>
          <w:sz w:val="24"/>
          <w:szCs w:val="24"/>
          <w:lang w:eastAsia="en-AU"/>
        </w:rPr>
        <w:t xml:space="preserve"> </w:t>
      </w:r>
      <w:r w:rsidR="00F75C9E" w:rsidRPr="00F75C9E">
        <w:rPr>
          <w:sz w:val="24"/>
          <w:szCs w:val="24"/>
        </w:rPr>
        <w:t xml:space="preserve">or call </w:t>
      </w:r>
      <w:r w:rsidR="008E22F9">
        <w:rPr>
          <w:sz w:val="24"/>
          <w:szCs w:val="24"/>
        </w:rPr>
        <w:t>(</w:t>
      </w:r>
      <w:hyperlink r:id="rId11" w:history="1">
        <w:r w:rsidR="00F75C9E" w:rsidRPr="00F75C9E">
          <w:rPr>
            <w:sz w:val="24"/>
            <w:szCs w:val="24"/>
          </w:rPr>
          <w:t>03</w:t>
        </w:r>
        <w:r w:rsidR="008E22F9">
          <w:rPr>
            <w:sz w:val="24"/>
            <w:szCs w:val="24"/>
          </w:rPr>
          <w:t>)</w:t>
        </w:r>
        <w:r w:rsidR="00F75C9E" w:rsidRPr="00F75C9E">
          <w:rPr>
            <w:sz w:val="24"/>
            <w:szCs w:val="24"/>
          </w:rPr>
          <w:t xml:space="preserve"> 8892 2777</w:t>
        </w:r>
      </w:hyperlink>
      <w:r w:rsidR="008E22F9" w:rsidRPr="00AD5826">
        <w:rPr>
          <w:sz w:val="24"/>
          <w:szCs w:val="24"/>
        </w:rPr>
        <w:t>.</w:t>
      </w:r>
    </w:p>
    <w:p w14:paraId="6FE827FA" w14:textId="77777777" w:rsidR="008E22F9" w:rsidRDefault="008E22F9" w:rsidP="0093382B">
      <w:pPr>
        <w:widowControl w:val="0"/>
        <w:spacing w:after="0"/>
        <w:textAlignment w:val="baseline"/>
        <w:rPr>
          <w:rFonts w:ascii="Calibri" w:eastAsia="Calibri" w:hAnsi="Calibri" w:cs="Calibri"/>
          <w:b/>
          <w:noProof/>
          <w:color w:val="4472C4" w:themeColor="accent1"/>
          <w:sz w:val="24"/>
          <w:szCs w:val="24"/>
          <w:lang w:eastAsia="en-AU"/>
        </w:rPr>
      </w:pPr>
    </w:p>
    <w:p w14:paraId="3852A4F2" w14:textId="77777777" w:rsidR="008E22F9" w:rsidRDefault="008E22F9">
      <w:pPr>
        <w:rPr>
          <w:rFonts w:ascii="Calibri" w:eastAsia="Calibri" w:hAnsi="Calibri" w:cs="Calibri"/>
          <w:b/>
          <w:noProof/>
          <w:color w:val="4472C4" w:themeColor="accent1"/>
          <w:sz w:val="24"/>
          <w:szCs w:val="24"/>
          <w:lang w:eastAsia="en-AU"/>
        </w:rPr>
      </w:pPr>
      <w:r>
        <w:rPr>
          <w:rFonts w:ascii="Calibri" w:eastAsia="Calibri" w:hAnsi="Calibri" w:cs="Calibri"/>
          <w:b/>
          <w:noProof/>
          <w:color w:val="4472C4" w:themeColor="accent1"/>
          <w:sz w:val="24"/>
          <w:szCs w:val="24"/>
          <w:lang w:eastAsia="en-AU"/>
        </w:rPr>
        <w:br w:type="page"/>
      </w:r>
    </w:p>
    <w:p w14:paraId="5472D37E" w14:textId="22FF4D3E" w:rsidR="0082708B" w:rsidRPr="00CC3683" w:rsidRDefault="007C0ECB" w:rsidP="0093382B">
      <w:pPr>
        <w:widowControl w:val="0"/>
        <w:spacing w:after="0"/>
        <w:textAlignment w:val="baseline"/>
        <w:rPr>
          <w:rFonts w:ascii="Calibri" w:eastAsia="Calibri" w:hAnsi="Calibri" w:cs="Calibri"/>
          <w:b/>
          <w:noProof/>
          <w:color w:val="4472C4" w:themeColor="accent1"/>
          <w:sz w:val="24"/>
          <w:szCs w:val="24"/>
          <w:lang w:eastAsia="en-AU"/>
        </w:rPr>
      </w:pPr>
      <w:r w:rsidRPr="00E63C9B">
        <w:rPr>
          <w:rFonts w:ascii="Calibri" w:eastAsia="Calibri" w:hAnsi="Calibri" w:cs="Calibri"/>
          <w:noProof/>
          <w:sz w:val="24"/>
          <w:szCs w:val="24"/>
          <w:lang w:eastAsia="en-AU"/>
        </w:rPr>
        <w:lastRenderedPageBreak/>
        <w:drawing>
          <wp:anchor distT="0" distB="0" distL="114300" distR="114300" simplePos="0" relativeHeight="251661312" behindDoc="0" locked="0" layoutInCell="1" allowOverlap="1" wp14:anchorId="33C4D716" wp14:editId="1909C216">
            <wp:simplePos x="0" y="0"/>
            <wp:positionH relativeFrom="margin">
              <wp:posOffset>1342073</wp:posOffset>
            </wp:positionH>
            <wp:positionV relativeFrom="paragraph">
              <wp:posOffset>0</wp:posOffset>
            </wp:positionV>
            <wp:extent cx="1133475" cy="534670"/>
            <wp:effectExtent l="0" t="0" r="9525" b="0"/>
            <wp:wrapSquare wrapText="bothSides"/>
            <wp:docPr id="3" name="Picture 3" descr="PrimeSafe Logo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imeSafe Logo JPG"/>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133475" cy="534670"/>
                    </a:xfrm>
                    <a:prstGeom prst="rect">
                      <a:avLst/>
                    </a:prstGeom>
                    <a:noFill/>
                    <a:ln>
                      <a:noFill/>
                    </a:ln>
                  </pic:spPr>
                </pic:pic>
              </a:graphicData>
            </a:graphic>
            <wp14:sizeRelH relativeFrom="page">
              <wp14:pctWidth>0</wp14:pctWidth>
            </wp14:sizeRelH>
            <wp14:sizeRelV relativeFrom="page">
              <wp14:pctHeight>0</wp14:pctHeight>
            </wp14:sizeRelV>
          </wp:anchor>
        </w:drawing>
      </w:r>
      <w:r w:rsidR="0082708B" w:rsidRPr="00CC3683">
        <w:rPr>
          <w:rFonts w:ascii="Calibri" w:eastAsia="Calibri" w:hAnsi="Calibri" w:cs="Calibri"/>
          <w:b/>
          <w:noProof/>
          <w:color w:val="4472C4" w:themeColor="accent1"/>
          <w:sz w:val="24"/>
          <w:szCs w:val="24"/>
          <w:lang w:eastAsia="en-AU"/>
        </w:rPr>
        <w:t xml:space="preserve">Primary Industries Legislation Amendment Bill </w:t>
      </w:r>
    </w:p>
    <w:bookmarkEnd w:id="2"/>
    <w:p w14:paraId="54287292" w14:textId="77777777" w:rsidR="00F75C9E" w:rsidRPr="00E63C9B" w:rsidRDefault="00E63C9B" w:rsidP="0093382B">
      <w:pPr>
        <w:widowControl w:val="0"/>
        <w:rPr>
          <w:sz w:val="24"/>
          <w:szCs w:val="24"/>
        </w:rPr>
      </w:pPr>
      <w:r w:rsidRPr="00E63C9B">
        <w:rPr>
          <w:sz w:val="24"/>
          <w:szCs w:val="24"/>
        </w:rPr>
        <w:t xml:space="preserve">Last month, Victoria passed the Primary Industries Legislation Amendment Bill.  As a result, from 1 July 2020 </w:t>
      </w:r>
      <w:proofErr w:type="spellStart"/>
      <w:r w:rsidRPr="00E63C9B">
        <w:rPr>
          <w:sz w:val="24"/>
          <w:szCs w:val="24"/>
        </w:rPr>
        <w:t>PrimeSafe</w:t>
      </w:r>
      <w:proofErr w:type="spellEnd"/>
      <w:r w:rsidRPr="00E63C9B">
        <w:rPr>
          <w:sz w:val="24"/>
          <w:szCs w:val="24"/>
        </w:rPr>
        <w:t xml:space="preserve"> is expected to require vehicles used for the harvest, processing, transport and/or storage of pet food to be licensed with </w:t>
      </w:r>
      <w:proofErr w:type="spellStart"/>
      <w:r w:rsidRPr="00E63C9B">
        <w:rPr>
          <w:sz w:val="24"/>
          <w:szCs w:val="24"/>
        </w:rPr>
        <w:t>PrimeSafe</w:t>
      </w:r>
      <w:proofErr w:type="spellEnd"/>
      <w:r w:rsidRPr="00E63C9B">
        <w:rPr>
          <w:sz w:val="24"/>
          <w:szCs w:val="24"/>
        </w:rPr>
        <w:t xml:space="preserve"> </w:t>
      </w:r>
      <w:r w:rsidR="00F75C9E" w:rsidRPr="00E63C9B">
        <w:rPr>
          <w:sz w:val="24"/>
          <w:szCs w:val="24"/>
        </w:rPr>
        <w:t xml:space="preserve">unless they hold an equivalent interstate licence.  If harvesters have any queries, you are encouraged to contact </w:t>
      </w:r>
      <w:proofErr w:type="spellStart"/>
      <w:r w:rsidR="00F75C9E" w:rsidRPr="00E63C9B">
        <w:rPr>
          <w:sz w:val="24"/>
          <w:szCs w:val="24"/>
        </w:rPr>
        <w:t>PrimeSafe</w:t>
      </w:r>
      <w:proofErr w:type="spellEnd"/>
      <w:r w:rsidR="00F75C9E" w:rsidRPr="00E63C9B">
        <w:rPr>
          <w:sz w:val="24"/>
          <w:szCs w:val="24"/>
        </w:rPr>
        <w:t xml:space="preserve"> to discuss licensing requirements for harvest vehicles and mobile field depots on (03) 9685 7333. </w:t>
      </w:r>
    </w:p>
    <w:p w14:paraId="6D9FC040" w14:textId="249F4D57" w:rsidR="007C0ECB" w:rsidRDefault="00F75C9E" w:rsidP="0093382B">
      <w:pPr>
        <w:rPr>
          <w:sz w:val="24"/>
          <w:szCs w:val="24"/>
        </w:rPr>
      </w:pPr>
      <w:r w:rsidRPr="00E63C9B">
        <w:rPr>
          <w:sz w:val="24"/>
          <w:szCs w:val="24"/>
        </w:rPr>
        <w:t xml:space="preserve">Harvesters are reminded that they must be able to provide their Authorisation to the Pet Meat Processing Plant (knackery) </w:t>
      </w:r>
      <w:r w:rsidRPr="00E63C9B">
        <w:rPr>
          <w:sz w:val="24"/>
          <w:szCs w:val="24"/>
        </w:rPr>
        <w:t xml:space="preserve">that you supply your kangaroo carcasses too.  Knackeries must refuse to accept kangaroo carcasses if a harvester does not have a valid Authorisation. </w:t>
      </w:r>
    </w:p>
    <w:p w14:paraId="3AAB3625" w14:textId="77777777" w:rsidR="007C0ECB" w:rsidRDefault="007C0ECB" w:rsidP="007C0ECB">
      <w:pPr>
        <w:textAlignment w:val="baseline"/>
        <w:rPr>
          <w:rFonts w:ascii="Calibri" w:eastAsia="Calibri" w:hAnsi="Calibri" w:cs="Calibri"/>
          <w:b/>
          <w:noProof/>
          <w:color w:val="4472C4" w:themeColor="accent1"/>
          <w:sz w:val="24"/>
          <w:szCs w:val="24"/>
          <w:lang w:eastAsia="en-AU"/>
        </w:rPr>
      </w:pPr>
      <w:r w:rsidRPr="00DF4F76">
        <w:rPr>
          <w:rFonts w:ascii="Calibri" w:eastAsia="Calibri" w:hAnsi="Calibri" w:cs="Calibri"/>
          <w:b/>
          <w:noProof/>
          <w:color w:val="4472C4" w:themeColor="accent1"/>
          <w:sz w:val="24"/>
          <w:szCs w:val="24"/>
          <w:lang w:eastAsia="en-AU"/>
        </w:rPr>
        <w:t xml:space="preserve">Review of </w:t>
      </w:r>
      <w:r>
        <w:rPr>
          <w:rFonts w:ascii="Calibri" w:eastAsia="Calibri" w:hAnsi="Calibri" w:cs="Calibri"/>
          <w:b/>
          <w:noProof/>
          <w:color w:val="4472C4" w:themeColor="accent1"/>
          <w:sz w:val="24"/>
          <w:szCs w:val="24"/>
          <w:lang w:eastAsia="en-AU"/>
        </w:rPr>
        <w:t xml:space="preserve">the </w:t>
      </w:r>
      <w:r w:rsidRPr="00DF4F76">
        <w:rPr>
          <w:rFonts w:ascii="Calibri" w:eastAsia="Calibri" w:hAnsi="Calibri" w:cs="Calibri"/>
          <w:b/>
          <w:noProof/>
          <w:color w:val="4472C4" w:themeColor="accent1"/>
          <w:sz w:val="24"/>
          <w:szCs w:val="24"/>
          <w:lang w:eastAsia="en-AU"/>
        </w:rPr>
        <w:t>National Code</w:t>
      </w:r>
    </w:p>
    <w:p w14:paraId="55490634" w14:textId="77777777" w:rsidR="007C0ECB" w:rsidRDefault="007C0ECB" w:rsidP="007C0ECB">
      <w:pPr>
        <w:textAlignment w:val="baseline"/>
        <w:rPr>
          <w:rFonts w:ascii="Calibri" w:eastAsia="Calibri" w:hAnsi="Calibri" w:cs="Calibri"/>
          <w:noProof/>
          <w:sz w:val="24"/>
          <w:szCs w:val="24"/>
          <w:lang w:eastAsia="en-AU"/>
        </w:rPr>
      </w:pPr>
      <w:r>
        <w:rPr>
          <w:rFonts w:ascii="Calibri" w:eastAsia="Calibri" w:hAnsi="Calibri" w:cs="Calibri"/>
          <w:noProof/>
          <w:sz w:val="24"/>
          <w:szCs w:val="24"/>
          <w:lang w:eastAsia="en-AU"/>
        </w:rPr>
        <w:t xml:space="preserve">The </w:t>
      </w:r>
      <w:r w:rsidRPr="00DB755F">
        <w:rPr>
          <w:rFonts w:ascii="Calibri" w:eastAsia="Calibri" w:hAnsi="Calibri" w:cs="Calibri"/>
          <w:i/>
          <w:noProof/>
          <w:sz w:val="24"/>
          <w:szCs w:val="24"/>
          <w:lang w:eastAsia="en-AU"/>
        </w:rPr>
        <w:t>National Code of Practice for the Humane Shooting of Kangaroos and Wallabies for Commerical Purposes</w:t>
      </w:r>
      <w:r>
        <w:rPr>
          <w:rFonts w:ascii="Calibri" w:eastAsia="Calibri" w:hAnsi="Calibri" w:cs="Calibri"/>
          <w:noProof/>
          <w:sz w:val="24"/>
          <w:szCs w:val="24"/>
          <w:lang w:eastAsia="en-AU"/>
        </w:rPr>
        <w:t xml:space="preserve"> is currently under review. The public consultation is open </w:t>
      </w:r>
      <w:r w:rsidRPr="0031164D">
        <w:rPr>
          <w:rFonts w:ascii="Calibri" w:eastAsia="Calibri" w:hAnsi="Calibri" w:cs="Calibri"/>
          <w:noProof/>
          <w:sz w:val="24"/>
          <w:szCs w:val="24"/>
          <w:lang w:eastAsia="en-AU"/>
        </w:rPr>
        <w:t xml:space="preserve">from </w:t>
      </w:r>
      <w:r w:rsidRPr="0031164D">
        <w:rPr>
          <w:rFonts w:ascii="Calibri" w:eastAsia="Calibri" w:hAnsi="Calibri" w:cs="Calibri"/>
          <w:b/>
          <w:noProof/>
          <w:sz w:val="24"/>
          <w:szCs w:val="24"/>
          <w:lang w:eastAsia="en-AU"/>
        </w:rPr>
        <w:t>Monday</w:t>
      </w:r>
      <w:r>
        <w:rPr>
          <w:rFonts w:ascii="Calibri" w:eastAsia="Calibri" w:hAnsi="Calibri" w:cs="Calibri"/>
          <w:b/>
          <w:noProof/>
          <w:sz w:val="24"/>
          <w:szCs w:val="24"/>
          <w:lang w:eastAsia="en-AU"/>
        </w:rPr>
        <w:t>,</w:t>
      </w:r>
      <w:r w:rsidRPr="0031164D">
        <w:rPr>
          <w:rFonts w:ascii="Calibri" w:eastAsia="Calibri" w:hAnsi="Calibri" w:cs="Calibri"/>
          <w:b/>
          <w:noProof/>
          <w:sz w:val="24"/>
          <w:szCs w:val="24"/>
          <w:lang w:eastAsia="en-AU"/>
        </w:rPr>
        <w:t xml:space="preserve"> 25 November 2019</w:t>
      </w:r>
      <w:r w:rsidRPr="000576A6">
        <w:rPr>
          <w:rFonts w:ascii="Calibri" w:eastAsia="Calibri" w:hAnsi="Calibri" w:cs="Calibri"/>
          <w:noProof/>
          <w:sz w:val="24"/>
          <w:szCs w:val="24"/>
          <w:lang w:eastAsia="en-AU"/>
        </w:rPr>
        <w:t xml:space="preserve"> to</w:t>
      </w:r>
      <w:r w:rsidRPr="0031164D">
        <w:rPr>
          <w:rFonts w:ascii="Calibri" w:eastAsia="Calibri" w:hAnsi="Calibri" w:cs="Calibri"/>
          <w:b/>
          <w:noProof/>
          <w:sz w:val="24"/>
          <w:szCs w:val="24"/>
          <w:lang w:eastAsia="en-AU"/>
        </w:rPr>
        <w:t xml:space="preserve"> midnight Sunday</w:t>
      </w:r>
      <w:r>
        <w:rPr>
          <w:rFonts w:ascii="Calibri" w:eastAsia="Calibri" w:hAnsi="Calibri" w:cs="Calibri"/>
          <w:b/>
          <w:noProof/>
          <w:sz w:val="24"/>
          <w:szCs w:val="24"/>
          <w:lang w:eastAsia="en-AU"/>
        </w:rPr>
        <w:t>,</w:t>
      </w:r>
      <w:r w:rsidRPr="0031164D">
        <w:rPr>
          <w:rFonts w:ascii="Calibri" w:eastAsia="Calibri" w:hAnsi="Calibri" w:cs="Calibri"/>
          <w:b/>
          <w:noProof/>
          <w:sz w:val="24"/>
          <w:szCs w:val="24"/>
          <w:lang w:eastAsia="en-AU"/>
        </w:rPr>
        <w:t xml:space="preserve"> 22 December 2019</w:t>
      </w:r>
      <w:r w:rsidRPr="0031164D">
        <w:rPr>
          <w:rFonts w:ascii="Calibri" w:eastAsia="Calibri" w:hAnsi="Calibri" w:cs="Calibri"/>
          <w:noProof/>
          <w:sz w:val="24"/>
          <w:szCs w:val="24"/>
          <w:lang w:eastAsia="en-AU"/>
        </w:rPr>
        <w:t>.</w:t>
      </w:r>
    </w:p>
    <w:p w14:paraId="370AF6CF" w14:textId="0E66C046" w:rsidR="007C0ECB" w:rsidRDefault="007C0ECB" w:rsidP="00F05A18">
      <w:pPr>
        <w:pStyle w:val="xmsonormal"/>
        <w:rPr>
          <w:sz w:val="24"/>
          <w:szCs w:val="24"/>
        </w:rPr>
      </w:pPr>
      <w:r>
        <w:rPr>
          <w:rFonts w:eastAsia="Calibri"/>
          <w:noProof/>
          <w:sz w:val="24"/>
          <w:szCs w:val="24"/>
        </w:rPr>
        <w:t xml:space="preserve">For more information and to provide input into the review, visit: </w:t>
      </w:r>
      <w:hyperlink r:id="rId14" w:tgtFrame="_blank" w:history="1">
        <w:r w:rsidRPr="0031164D">
          <w:rPr>
            <w:rStyle w:val="Hyperlink"/>
            <w:sz w:val="24"/>
            <w:szCs w:val="24"/>
          </w:rPr>
          <w:t>www.agrifutures.com.au/kangaroo-commercial-code-review/</w:t>
        </w:r>
      </w:hyperlink>
    </w:p>
    <w:p w14:paraId="73B91A8D" w14:textId="77777777" w:rsidR="00F75C9E" w:rsidRDefault="00F75C9E" w:rsidP="00E63C9B">
      <w:pPr>
        <w:textAlignment w:val="baseline"/>
        <w:rPr>
          <w:rFonts w:ascii="Calibri" w:eastAsia="Calibri" w:hAnsi="Calibri" w:cs="Calibri"/>
          <w:b/>
          <w:noProof/>
          <w:color w:val="4472C4" w:themeColor="accent1"/>
          <w:sz w:val="24"/>
          <w:szCs w:val="24"/>
          <w:lang w:eastAsia="en-AU"/>
        </w:rPr>
        <w:sectPr w:rsidR="00F75C9E" w:rsidSect="00F05A18">
          <w:type w:val="continuous"/>
          <w:pgSz w:w="11906" w:h="16838"/>
          <w:pgMar w:top="1985" w:right="1440" w:bottom="1440" w:left="1440" w:header="708" w:footer="708" w:gutter="0"/>
          <w:cols w:num="2" w:space="708"/>
          <w:docGrid w:linePitch="360"/>
        </w:sectPr>
      </w:pPr>
    </w:p>
    <w:p w14:paraId="261B56FA" w14:textId="77777777" w:rsidR="00971717" w:rsidRDefault="00971717" w:rsidP="00E63C9B">
      <w:pPr>
        <w:textAlignment w:val="baseline"/>
        <w:rPr>
          <w:rFonts w:ascii="Calibri" w:eastAsia="Calibri" w:hAnsi="Calibri" w:cs="Calibri"/>
          <w:b/>
          <w:noProof/>
          <w:color w:val="4472C4" w:themeColor="accent1"/>
          <w:sz w:val="24"/>
          <w:szCs w:val="24"/>
          <w:lang w:eastAsia="en-AU"/>
        </w:rPr>
      </w:pPr>
    </w:p>
    <w:p w14:paraId="6DCBDE23" w14:textId="1BBFBF51" w:rsidR="0093382B" w:rsidRDefault="00C76EF1" w:rsidP="00082A84">
      <w:pPr>
        <w:widowControl w:val="0"/>
        <w:spacing w:after="0"/>
        <w:textAlignment w:val="baseline"/>
        <w:rPr>
          <w:rFonts w:ascii="Calibri" w:eastAsia="Calibri" w:hAnsi="Calibri" w:cs="Calibri"/>
          <w:b/>
          <w:noProof/>
          <w:color w:val="4472C4" w:themeColor="accent1"/>
          <w:sz w:val="24"/>
          <w:szCs w:val="24"/>
          <w:lang w:eastAsia="en-AU"/>
        </w:rPr>
      </w:pPr>
      <w:r w:rsidRPr="00DF4F76">
        <w:rPr>
          <w:rFonts w:ascii="Calibri" w:eastAsia="Calibri" w:hAnsi="Calibri" w:cs="Calibri"/>
          <w:b/>
          <w:noProof/>
          <w:color w:val="4472C4" w:themeColor="accent1"/>
          <w:sz w:val="24"/>
          <w:szCs w:val="24"/>
          <w:lang w:eastAsia="en-AU"/>
        </w:rPr>
        <w:t>2020 Quota</w:t>
      </w:r>
    </w:p>
    <w:p w14:paraId="7FED7DD6" w14:textId="0EC8AEBA" w:rsidR="0031164D" w:rsidRPr="00F05A18" w:rsidRDefault="0031164D" w:rsidP="00082A84">
      <w:pPr>
        <w:widowControl w:val="0"/>
        <w:spacing w:after="0"/>
        <w:textAlignment w:val="baseline"/>
        <w:rPr>
          <w:rFonts w:ascii="Calibri" w:eastAsia="Calibri" w:hAnsi="Calibri" w:cs="Calibri"/>
          <w:noProof/>
          <w:sz w:val="24"/>
          <w:szCs w:val="24"/>
          <w:lang w:eastAsia="en-AU"/>
        </w:rPr>
      </w:pPr>
      <w:r w:rsidRPr="00082A84">
        <w:rPr>
          <w:rFonts w:ascii="Calibri" w:eastAsia="Calibri" w:hAnsi="Calibri" w:cs="Calibri"/>
          <w:noProof/>
          <w:sz w:val="24"/>
          <w:szCs w:val="24"/>
          <w:lang w:eastAsia="en-AU"/>
        </w:rPr>
        <w:t xml:space="preserve">Applications for quota will open on </w:t>
      </w:r>
      <w:r w:rsidRPr="00082A84">
        <w:rPr>
          <w:rFonts w:ascii="Calibri" w:eastAsia="Calibri" w:hAnsi="Calibri" w:cs="Calibri"/>
          <w:b/>
          <w:noProof/>
          <w:sz w:val="24"/>
          <w:szCs w:val="24"/>
          <w:lang w:eastAsia="en-AU"/>
        </w:rPr>
        <w:t>Monday 6 January 2020</w:t>
      </w:r>
      <w:r w:rsidRPr="00082A84">
        <w:rPr>
          <w:rFonts w:ascii="Calibri" w:eastAsia="Calibri" w:hAnsi="Calibri" w:cs="Calibri"/>
          <w:noProof/>
          <w:sz w:val="24"/>
          <w:szCs w:val="24"/>
          <w:lang w:eastAsia="en-AU"/>
        </w:rPr>
        <w:t xml:space="preserve">. </w:t>
      </w:r>
      <w:r w:rsidR="00443A98" w:rsidRPr="00082A84">
        <w:rPr>
          <w:rFonts w:ascii="Calibri" w:eastAsia="Calibri" w:hAnsi="Calibri" w:cs="Calibri"/>
          <w:noProof/>
          <w:sz w:val="24"/>
          <w:szCs w:val="24"/>
          <w:lang w:eastAsia="en-AU"/>
        </w:rPr>
        <w:t xml:space="preserve"> </w:t>
      </w:r>
      <w:r w:rsidR="008E22F9" w:rsidRPr="00082A84">
        <w:rPr>
          <w:rFonts w:ascii="Calibri" w:eastAsia="Calibri" w:hAnsi="Calibri" w:cs="Calibri"/>
          <w:noProof/>
          <w:sz w:val="24"/>
          <w:szCs w:val="24"/>
          <w:lang w:eastAsia="en-AU"/>
        </w:rPr>
        <w:t>The a</w:t>
      </w:r>
      <w:r w:rsidR="00443A98" w:rsidRPr="00082A84">
        <w:rPr>
          <w:rFonts w:ascii="Calibri" w:eastAsia="Calibri" w:hAnsi="Calibri" w:cs="Calibri"/>
          <w:noProof/>
          <w:sz w:val="24"/>
          <w:szCs w:val="24"/>
          <w:lang w:eastAsia="en-AU"/>
        </w:rPr>
        <w:t xml:space="preserve">nnual quota </w:t>
      </w:r>
      <w:r w:rsidR="00971717" w:rsidRPr="00082A84">
        <w:rPr>
          <w:rFonts w:ascii="Calibri" w:eastAsia="Calibri" w:hAnsi="Calibri" w:cs="Calibri"/>
          <w:noProof/>
          <w:sz w:val="24"/>
          <w:szCs w:val="24"/>
          <w:lang w:eastAsia="en-AU"/>
        </w:rPr>
        <w:t xml:space="preserve">and </w:t>
      </w:r>
      <w:bookmarkStart w:id="4" w:name="_Hlk27493843"/>
      <w:r w:rsidR="00971717" w:rsidRPr="00082A84">
        <w:rPr>
          <w:rFonts w:ascii="Calibri" w:eastAsia="Calibri" w:hAnsi="Calibri" w:cs="Calibri"/>
          <w:noProof/>
          <w:sz w:val="24"/>
          <w:szCs w:val="24"/>
          <w:lang w:eastAsia="en-AU"/>
        </w:rPr>
        <w:t>quarterly</w:t>
      </w:r>
      <w:bookmarkEnd w:id="4"/>
      <w:r w:rsidR="00971717">
        <w:rPr>
          <w:rFonts w:ascii="Calibri" w:eastAsia="Calibri" w:hAnsi="Calibri" w:cs="Calibri"/>
          <w:noProof/>
          <w:sz w:val="24"/>
          <w:szCs w:val="24"/>
          <w:lang w:eastAsia="en-AU"/>
        </w:rPr>
        <w:t xml:space="preserve"> release </w:t>
      </w:r>
      <w:r w:rsidR="00443A98">
        <w:rPr>
          <w:rFonts w:ascii="Calibri" w:eastAsia="Calibri" w:hAnsi="Calibri" w:cs="Calibri"/>
          <w:noProof/>
          <w:sz w:val="24"/>
          <w:szCs w:val="24"/>
          <w:lang w:eastAsia="en-AU"/>
        </w:rPr>
        <w:t xml:space="preserve">for 2020 is </w:t>
      </w:r>
      <w:r w:rsidR="00A860A8">
        <w:rPr>
          <w:rFonts w:ascii="Calibri" w:eastAsia="Calibri" w:hAnsi="Calibri" w:cs="Calibri"/>
          <w:noProof/>
          <w:sz w:val="24"/>
          <w:szCs w:val="24"/>
          <w:lang w:eastAsia="en-AU"/>
        </w:rPr>
        <w:t>outlined in the table below</w:t>
      </w:r>
      <w:r w:rsidR="00082A84">
        <w:rPr>
          <w:rFonts w:ascii="Calibri" w:eastAsia="Calibri" w:hAnsi="Calibri" w:cs="Calibri"/>
          <w:noProof/>
          <w:sz w:val="24"/>
          <w:szCs w:val="24"/>
          <w:lang w:eastAsia="en-AU"/>
        </w:rPr>
        <w:t xml:space="preserve"> (any quarterly unallocated quota will be rolled over into the next quarter release)</w:t>
      </w:r>
      <w:r w:rsidR="00443A98">
        <w:rPr>
          <w:rFonts w:ascii="Calibri" w:eastAsia="Calibri" w:hAnsi="Calibri" w:cs="Calibri"/>
          <w:noProof/>
          <w:sz w:val="24"/>
          <w:szCs w:val="24"/>
          <w:lang w:eastAsia="en-AU"/>
        </w:rPr>
        <w:t xml:space="preserve">: </w:t>
      </w:r>
    </w:p>
    <w:tbl>
      <w:tblPr>
        <w:tblStyle w:val="TableGrid"/>
        <w:tblW w:w="0" w:type="auto"/>
        <w:tblLook w:val="04A0" w:firstRow="1" w:lastRow="0" w:firstColumn="1" w:lastColumn="0" w:noHBand="0" w:noVBand="1"/>
      </w:tblPr>
      <w:tblGrid>
        <w:gridCol w:w="1502"/>
        <w:gridCol w:w="1502"/>
        <w:gridCol w:w="1503"/>
        <w:gridCol w:w="1503"/>
        <w:gridCol w:w="1503"/>
        <w:gridCol w:w="1503"/>
      </w:tblGrid>
      <w:tr w:rsidR="0093382B" w14:paraId="0DC466E4" w14:textId="77777777" w:rsidTr="0093382B">
        <w:tc>
          <w:tcPr>
            <w:tcW w:w="1502" w:type="dxa"/>
            <w:shd w:val="clear" w:color="auto" w:fill="BDD6EE" w:themeFill="accent5" w:themeFillTint="66"/>
          </w:tcPr>
          <w:p w14:paraId="550176AC" w14:textId="77777777" w:rsidR="0093382B" w:rsidRPr="00B22C2A" w:rsidRDefault="0093382B" w:rsidP="00F05A18">
            <w:pPr>
              <w:spacing w:before="80" w:after="80"/>
              <w:rPr>
                <w:b/>
              </w:rPr>
            </w:pPr>
            <w:r w:rsidRPr="00B22C2A">
              <w:rPr>
                <w:b/>
              </w:rPr>
              <w:t>Harvest Zone</w:t>
            </w:r>
          </w:p>
        </w:tc>
        <w:tc>
          <w:tcPr>
            <w:tcW w:w="1502" w:type="dxa"/>
            <w:shd w:val="clear" w:color="auto" w:fill="BDD6EE" w:themeFill="accent5" w:themeFillTint="66"/>
          </w:tcPr>
          <w:p w14:paraId="34328F1C" w14:textId="77777777" w:rsidR="0093382B" w:rsidRPr="009F65A7" w:rsidRDefault="0093382B" w:rsidP="00F05A18">
            <w:pPr>
              <w:spacing w:before="80" w:after="80"/>
              <w:rPr>
                <w:b/>
                <w:lang w:val="it-IT"/>
              </w:rPr>
            </w:pPr>
            <w:r w:rsidRPr="009F65A7">
              <w:rPr>
                <w:b/>
                <w:lang w:val="it-IT"/>
              </w:rPr>
              <w:t>Total Annual Quota per Zone</w:t>
            </w:r>
          </w:p>
        </w:tc>
        <w:tc>
          <w:tcPr>
            <w:tcW w:w="1503" w:type="dxa"/>
            <w:shd w:val="clear" w:color="auto" w:fill="BDD6EE" w:themeFill="accent5" w:themeFillTint="66"/>
          </w:tcPr>
          <w:p w14:paraId="12A8EADC" w14:textId="77777777" w:rsidR="0093382B" w:rsidRPr="00B22C2A" w:rsidRDefault="0093382B" w:rsidP="00F05A18">
            <w:pPr>
              <w:spacing w:before="80" w:after="80"/>
              <w:rPr>
                <w:b/>
              </w:rPr>
            </w:pPr>
            <w:r w:rsidRPr="00B22C2A">
              <w:rPr>
                <w:b/>
              </w:rPr>
              <w:t xml:space="preserve">Maximum Quota Released for Quarter 1 </w:t>
            </w:r>
          </w:p>
        </w:tc>
        <w:tc>
          <w:tcPr>
            <w:tcW w:w="1503" w:type="dxa"/>
            <w:shd w:val="clear" w:color="auto" w:fill="BDD6EE" w:themeFill="accent5" w:themeFillTint="66"/>
          </w:tcPr>
          <w:p w14:paraId="7546AA8C" w14:textId="77777777" w:rsidR="0093382B" w:rsidRPr="00B22C2A" w:rsidRDefault="0093382B" w:rsidP="00F05A18">
            <w:pPr>
              <w:spacing w:before="80" w:after="80"/>
              <w:rPr>
                <w:b/>
              </w:rPr>
            </w:pPr>
            <w:r w:rsidRPr="00B22C2A">
              <w:rPr>
                <w:b/>
              </w:rPr>
              <w:t>Maximum Quota Released for Quarter 2</w:t>
            </w:r>
          </w:p>
        </w:tc>
        <w:tc>
          <w:tcPr>
            <w:tcW w:w="1503" w:type="dxa"/>
            <w:shd w:val="clear" w:color="auto" w:fill="BDD6EE" w:themeFill="accent5" w:themeFillTint="66"/>
          </w:tcPr>
          <w:p w14:paraId="3309B8A4" w14:textId="77777777" w:rsidR="0093382B" w:rsidRPr="00B22C2A" w:rsidRDefault="0093382B" w:rsidP="00F05A18">
            <w:pPr>
              <w:spacing w:before="80" w:after="80"/>
              <w:rPr>
                <w:b/>
              </w:rPr>
            </w:pPr>
            <w:r w:rsidRPr="00B22C2A">
              <w:rPr>
                <w:b/>
              </w:rPr>
              <w:t>Maximum Quota Released for Quarter 3</w:t>
            </w:r>
          </w:p>
        </w:tc>
        <w:tc>
          <w:tcPr>
            <w:tcW w:w="1503" w:type="dxa"/>
            <w:shd w:val="clear" w:color="auto" w:fill="BDD6EE" w:themeFill="accent5" w:themeFillTint="66"/>
          </w:tcPr>
          <w:p w14:paraId="16FD481E" w14:textId="77777777" w:rsidR="0093382B" w:rsidRPr="00B22C2A" w:rsidRDefault="0093382B" w:rsidP="00F05A18">
            <w:pPr>
              <w:spacing w:before="80" w:after="80"/>
              <w:rPr>
                <w:b/>
              </w:rPr>
            </w:pPr>
            <w:r w:rsidRPr="00B22C2A">
              <w:rPr>
                <w:b/>
              </w:rPr>
              <w:t>Maximum Quota Released for Quarter 4</w:t>
            </w:r>
          </w:p>
        </w:tc>
      </w:tr>
      <w:tr w:rsidR="0093382B" w14:paraId="1A290571" w14:textId="77777777" w:rsidTr="0093382B">
        <w:tc>
          <w:tcPr>
            <w:tcW w:w="1502" w:type="dxa"/>
            <w:shd w:val="clear" w:color="auto" w:fill="D9D9D9" w:themeFill="background1" w:themeFillShade="D9"/>
          </w:tcPr>
          <w:p w14:paraId="42ABF0F3" w14:textId="77777777" w:rsidR="0093382B" w:rsidRPr="00B22C2A" w:rsidRDefault="0093382B" w:rsidP="00F05A18">
            <w:pPr>
              <w:spacing w:before="80" w:after="80"/>
              <w:rPr>
                <w:b/>
              </w:rPr>
            </w:pPr>
            <w:r w:rsidRPr="00B22C2A">
              <w:rPr>
                <w:b/>
              </w:rPr>
              <w:t>Mallee</w:t>
            </w:r>
          </w:p>
        </w:tc>
        <w:tc>
          <w:tcPr>
            <w:tcW w:w="1502" w:type="dxa"/>
          </w:tcPr>
          <w:p w14:paraId="594775FD" w14:textId="77777777" w:rsidR="0093382B" w:rsidRDefault="0093382B" w:rsidP="00F05A18">
            <w:pPr>
              <w:spacing w:before="80" w:after="80"/>
              <w:jc w:val="center"/>
            </w:pPr>
            <w:r>
              <w:t>2,000</w:t>
            </w:r>
          </w:p>
        </w:tc>
        <w:tc>
          <w:tcPr>
            <w:tcW w:w="1503" w:type="dxa"/>
          </w:tcPr>
          <w:p w14:paraId="25865157" w14:textId="77777777" w:rsidR="0093382B" w:rsidRDefault="0093382B" w:rsidP="00F05A18">
            <w:pPr>
              <w:spacing w:before="80" w:after="80"/>
              <w:jc w:val="center"/>
            </w:pPr>
            <w:r>
              <w:t>800</w:t>
            </w:r>
          </w:p>
        </w:tc>
        <w:tc>
          <w:tcPr>
            <w:tcW w:w="1503" w:type="dxa"/>
          </w:tcPr>
          <w:p w14:paraId="2CEB35B2" w14:textId="77777777" w:rsidR="0093382B" w:rsidRDefault="0093382B" w:rsidP="00F05A18">
            <w:pPr>
              <w:spacing w:before="80" w:after="80"/>
              <w:jc w:val="center"/>
            </w:pPr>
            <w:r>
              <w:t>400</w:t>
            </w:r>
          </w:p>
        </w:tc>
        <w:tc>
          <w:tcPr>
            <w:tcW w:w="1503" w:type="dxa"/>
          </w:tcPr>
          <w:p w14:paraId="5677C541" w14:textId="77777777" w:rsidR="0093382B" w:rsidRDefault="0093382B" w:rsidP="00F05A18">
            <w:pPr>
              <w:spacing w:before="80" w:after="80"/>
              <w:jc w:val="center"/>
            </w:pPr>
            <w:r>
              <w:t>400</w:t>
            </w:r>
          </w:p>
        </w:tc>
        <w:tc>
          <w:tcPr>
            <w:tcW w:w="1503" w:type="dxa"/>
          </w:tcPr>
          <w:p w14:paraId="4BD7356A" w14:textId="77777777" w:rsidR="0093382B" w:rsidRDefault="0093382B" w:rsidP="00F05A18">
            <w:pPr>
              <w:spacing w:before="80" w:after="80"/>
              <w:jc w:val="center"/>
            </w:pPr>
            <w:r>
              <w:t>400</w:t>
            </w:r>
          </w:p>
        </w:tc>
      </w:tr>
      <w:tr w:rsidR="0093382B" w14:paraId="3D9E2025" w14:textId="77777777" w:rsidTr="0093382B">
        <w:tc>
          <w:tcPr>
            <w:tcW w:w="1502" w:type="dxa"/>
            <w:shd w:val="clear" w:color="auto" w:fill="D9D9D9" w:themeFill="background1" w:themeFillShade="D9"/>
          </w:tcPr>
          <w:p w14:paraId="32C2830A" w14:textId="77777777" w:rsidR="0093382B" w:rsidRPr="00B22C2A" w:rsidRDefault="0093382B" w:rsidP="00F05A18">
            <w:pPr>
              <w:spacing w:before="80" w:after="80"/>
              <w:rPr>
                <w:b/>
              </w:rPr>
            </w:pPr>
            <w:r w:rsidRPr="00B22C2A">
              <w:rPr>
                <w:b/>
              </w:rPr>
              <w:t>Upper Wimmera</w:t>
            </w:r>
          </w:p>
        </w:tc>
        <w:tc>
          <w:tcPr>
            <w:tcW w:w="1502" w:type="dxa"/>
          </w:tcPr>
          <w:p w14:paraId="6B29D8F1" w14:textId="77777777" w:rsidR="0093382B" w:rsidRDefault="0093382B" w:rsidP="00F05A18">
            <w:pPr>
              <w:spacing w:before="80" w:after="80"/>
              <w:jc w:val="center"/>
            </w:pPr>
            <w:r>
              <w:t>4,000</w:t>
            </w:r>
          </w:p>
        </w:tc>
        <w:tc>
          <w:tcPr>
            <w:tcW w:w="1503" w:type="dxa"/>
          </w:tcPr>
          <w:p w14:paraId="3F748C3D" w14:textId="77777777" w:rsidR="0093382B" w:rsidRDefault="0093382B" w:rsidP="00F05A18">
            <w:pPr>
              <w:spacing w:before="80" w:after="80"/>
              <w:jc w:val="center"/>
            </w:pPr>
            <w:r>
              <w:t>1,600</w:t>
            </w:r>
          </w:p>
        </w:tc>
        <w:tc>
          <w:tcPr>
            <w:tcW w:w="1503" w:type="dxa"/>
          </w:tcPr>
          <w:p w14:paraId="7534CF35" w14:textId="77777777" w:rsidR="0093382B" w:rsidRDefault="0093382B" w:rsidP="00F05A18">
            <w:pPr>
              <w:spacing w:before="80" w:after="80"/>
              <w:jc w:val="center"/>
            </w:pPr>
            <w:r>
              <w:t>800</w:t>
            </w:r>
          </w:p>
        </w:tc>
        <w:tc>
          <w:tcPr>
            <w:tcW w:w="1503" w:type="dxa"/>
          </w:tcPr>
          <w:p w14:paraId="05FE164C" w14:textId="77777777" w:rsidR="0093382B" w:rsidRDefault="0093382B" w:rsidP="00F05A18">
            <w:pPr>
              <w:spacing w:before="80" w:after="80"/>
              <w:jc w:val="center"/>
            </w:pPr>
            <w:r>
              <w:t>800</w:t>
            </w:r>
          </w:p>
        </w:tc>
        <w:tc>
          <w:tcPr>
            <w:tcW w:w="1503" w:type="dxa"/>
          </w:tcPr>
          <w:p w14:paraId="7FAA26C4" w14:textId="77777777" w:rsidR="0093382B" w:rsidRDefault="0093382B" w:rsidP="00F05A18">
            <w:pPr>
              <w:spacing w:before="80" w:after="80"/>
              <w:jc w:val="center"/>
            </w:pPr>
            <w:r>
              <w:t>800</w:t>
            </w:r>
          </w:p>
        </w:tc>
      </w:tr>
      <w:tr w:rsidR="0093382B" w14:paraId="0E0E7261" w14:textId="77777777" w:rsidTr="0093382B">
        <w:tc>
          <w:tcPr>
            <w:tcW w:w="1502" w:type="dxa"/>
            <w:shd w:val="clear" w:color="auto" w:fill="D9D9D9" w:themeFill="background1" w:themeFillShade="D9"/>
          </w:tcPr>
          <w:p w14:paraId="7643F77E" w14:textId="77777777" w:rsidR="0093382B" w:rsidRPr="00B22C2A" w:rsidRDefault="0093382B" w:rsidP="00F05A18">
            <w:pPr>
              <w:spacing w:before="80" w:after="80"/>
              <w:rPr>
                <w:b/>
              </w:rPr>
            </w:pPr>
            <w:r w:rsidRPr="00B22C2A">
              <w:rPr>
                <w:b/>
              </w:rPr>
              <w:t>Lower Wimmera</w:t>
            </w:r>
          </w:p>
        </w:tc>
        <w:tc>
          <w:tcPr>
            <w:tcW w:w="1502" w:type="dxa"/>
          </w:tcPr>
          <w:p w14:paraId="287A84A0" w14:textId="77777777" w:rsidR="0093382B" w:rsidRDefault="0093382B" w:rsidP="00F05A18">
            <w:pPr>
              <w:spacing w:before="80" w:after="80"/>
              <w:jc w:val="center"/>
            </w:pPr>
            <w:r>
              <w:t>17,500</w:t>
            </w:r>
          </w:p>
        </w:tc>
        <w:tc>
          <w:tcPr>
            <w:tcW w:w="1503" w:type="dxa"/>
          </w:tcPr>
          <w:p w14:paraId="7F3EBEAB" w14:textId="77777777" w:rsidR="0093382B" w:rsidRDefault="0093382B" w:rsidP="00F05A18">
            <w:pPr>
              <w:spacing w:before="80" w:after="80"/>
              <w:jc w:val="center"/>
            </w:pPr>
            <w:r>
              <w:t>7,000</w:t>
            </w:r>
          </w:p>
        </w:tc>
        <w:tc>
          <w:tcPr>
            <w:tcW w:w="1503" w:type="dxa"/>
          </w:tcPr>
          <w:p w14:paraId="2525B071" w14:textId="77777777" w:rsidR="0093382B" w:rsidRDefault="0093382B" w:rsidP="00F05A18">
            <w:pPr>
              <w:spacing w:before="80" w:after="80"/>
              <w:jc w:val="center"/>
            </w:pPr>
            <w:r>
              <w:t>3,500</w:t>
            </w:r>
          </w:p>
        </w:tc>
        <w:tc>
          <w:tcPr>
            <w:tcW w:w="1503" w:type="dxa"/>
          </w:tcPr>
          <w:p w14:paraId="31EE9E84" w14:textId="77777777" w:rsidR="0093382B" w:rsidRDefault="0093382B" w:rsidP="00F05A18">
            <w:pPr>
              <w:spacing w:before="80" w:after="80"/>
              <w:jc w:val="center"/>
            </w:pPr>
            <w:r>
              <w:t>3,500</w:t>
            </w:r>
          </w:p>
        </w:tc>
        <w:tc>
          <w:tcPr>
            <w:tcW w:w="1503" w:type="dxa"/>
          </w:tcPr>
          <w:p w14:paraId="2A440206" w14:textId="77777777" w:rsidR="0093382B" w:rsidRDefault="0093382B" w:rsidP="00F05A18">
            <w:pPr>
              <w:spacing w:before="80" w:after="80"/>
              <w:jc w:val="center"/>
            </w:pPr>
            <w:r>
              <w:t>3,500</w:t>
            </w:r>
          </w:p>
        </w:tc>
      </w:tr>
      <w:tr w:rsidR="0093382B" w14:paraId="6008D4A8" w14:textId="77777777" w:rsidTr="0093382B">
        <w:tc>
          <w:tcPr>
            <w:tcW w:w="1502" w:type="dxa"/>
            <w:shd w:val="clear" w:color="auto" w:fill="D9D9D9" w:themeFill="background1" w:themeFillShade="D9"/>
          </w:tcPr>
          <w:p w14:paraId="5B46B0AE" w14:textId="77777777" w:rsidR="0093382B" w:rsidRPr="00B22C2A" w:rsidRDefault="0093382B" w:rsidP="00F05A18">
            <w:pPr>
              <w:spacing w:before="80" w:after="80"/>
              <w:rPr>
                <w:b/>
              </w:rPr>
            </w:pPr>
            <w:r w:rsidRPr="00B22C2A">
              <w:rPr>
                <w:b/>
              </w:rPr>
              <w:t>Central</w:t>
            </w:r>
          </w:p>
        </w:tc>
        <w:tc>
          <w:tcPr>
            <w:tcW w:w="1502" w:type="dxa"/>
          </w:tcPr>
          <w:p w14:paraId="41F4DAF4" w14:textId="77777777" w:rsidR="0093382B" w:rsidRDefault="0093382B" w:rsidP="00F05A18">
            <w:pPr>
              <w:spacing w:before="80" w:after="80"/>
              <w:jc w:val="center"/>
            </w:pPr>
            <w:r>
              <w:t>12,000</w:t>
            </w:r>
          </w:p>
        </w:tc>
        <w:tc>
          <w:tcPr>
            <w:tcW w:w="1503" w:type="dxa"/>
          </w:tcPr>
          <w:p w14:paraId="69809103" w14:textId="77777777" w:rsidR="0093382B" w:rsidRDefault="0093382B" w:rsidP="00F05A18">
            <w:pPr>
              <w:spacing w:before="80" w:after="80"/>
              <w:jc w:val="center"/>
            </w:pPr>
            <w:r>
              <w:t>4,800</w:t>
            </w:r>
          </w:p>
        </w:tc>
        <w:tc>
          <w:tcPr>
            <w:tcW w:w="1503" w:type="dxa"/>
          </w:tcPr>
          <w:p w14:paraId="04482025" w14:textId="77777777" w:rsidR="0093382B" w:rsidRDefault="0093382B" w:rsidP="00F05A18">
            <w:pPr>
              <w:spacing w:before="80" w:after="80"/>
              <w:jc w:val="center"/>
            </w:pPr>
            <w:r>
              <w:t>2,400</w:t>
            </w:r>
          </w:p>
        </w:tc>
        <w:tc>
          <w:tcPr>
            <w:tcW w:w="1503" w:type="dxa"/>
          </w:tcPr>
          <w:p w14:paraId="5E05EF2D" w14:textId="77777777" w:rsidR="0093382B" w:rsidRDefault="0093382B" w:rsidP="00F05A18">
            <w:pPr>
              <w:spacing w:before="80" w:after="80"/>
              <w:jc w:val="center"/>
            </w:pPr>
            <w:r>
              <w:t>2,400</w:t>
            </w:r>
          </w:p>
        </w:tc>
        <w:tc>
          <w:tcPr>
            <w:tcW w:w="1503" w:type="dxa"/>
          </w:tcPr>
          <w:p w14:paraId="24B572FB" w14:textId="77777777" w:rsidR="0093382B" w:rsidRDefault="0093382B" w:rsidP="00F05A18">
            <w:pPr>
              <w:spacing w:before="80" w:after="80"/>
              <w:jc w:val="center"/>
            </w:pPr>
            <w:r>
              <w:t>2,400</w:t>
            </w:r>
          </w:p>
        </w:tc>
      </w:tr>
      <w:tr w:rsidR="0093382B" w14:paraId="10010897" w14:textId="77777777" w:rsidTr="0093382B">
        <w:tc>
          <w:tcPr>
            <w:tcW w:w="1502" w:type="dxa"/>
            <w:shd w:val="clear" w:color="auto" w:fill="D9D9D9" w:themeFill="background1" w:themeFillShade="D9"/>
          </w:tcPr>
          <w:p w14:paraId="4DD32A31" w14:textId="77777777" w:rsidR="0093382B" w:rsidRPr="00B22C2A" w:rsidRDefault="0093382B" w:rsidP="00F05A18">
            <w:pPr>
              <w:spacing w:before="80" w:after="80"/>
              <w:rPr>
                <w:b/>
              </w:rPr>
            </w:pPr>
            <w:r w:rsidRPr="00B22C2A">
              <w:rPr>
                <w:b/>
              </w:rPr>
              <w:t>Otway</w:t>
            </w:r>
          </w:p>
        </w:tc>
        <w:tc>
          <w:tcPr>
            <w:tcW w:w="1502" w:type="dxa"/>
          </w:tcPr>
          <w:p w14:paraId="390668A0" w14:textId="77777777" w:rsidR="0093382B" w:rsidRDefault="0093382B" w:rsidP="00F05A18">
            <w:pPr>
              <w:spacing w:before="80" w:after="80"/>
              <w:jc w:val="center"/>
            </w:pPr>
            <w:r>
              <w:t>8,000</w:t>
            </w:r>
          </w:p>
        </w:tc>
        <w:tc>
          <w:tcPr>
            <w:tcW w:w="1503" w:type="dxa"/>
          </w:tcPr>
          <w:p w14:paraId="45E89F43" w14:textId="77777777" w:rsidR="0093382B" w:rsidRDefault="0093382B" w:rsidP="00F05A18">
            <w:pPr>
              <w:spacing w:before="80" w:after="80"/>
              <w:jc w:val="center"/>
            </w:pPr>
            <w:r>
              <w:t>3,200</w:t>
            </w:r>
          </w:p>
        </w:tc>
        <w:tc>
          <w:tcPr>
            <w:tcW w:w="1503" w:type="dxa"/>
          </w:tcPr>
          <w:p w14:paraId="08329EB7" w14:textId="77777777" w:rsidR="0093382B" w:rsidRDefault="0093382B" w:rsidP="00F05A18">
            <w:pPr>
              <w:spacing w:before="80" w:after="80"/>
              <w:jc w:val="center"/>
            </w:pPr>
            <w:r>
              <w:t>1,600</w:t>
            </w:r>
          </w:p>
        </w:tc>
        <w:tc>
          <w:tcPr>
            <w:tcW w:w="1503" w:type="dxa"/>
          </w:tcPr>
          <w:p w14:paraId="18FF9000" w14:textId="77777777" w:rsidR="0093382B" w:rsidRDefault="0093382B" w:rsidP="00F05A18">
            <w:pPr>
              <w:spacing w:before="80" w:after="80"/>
              <w:jc w:val="center"/>
            </w:pPr>
            <w:r>
              <w:t>1,600</w:t>
            </w:r>
          </w:p>
        </w:tc>
        <w:tc>
          <w:tcPr>
            <w:tcW w:w="1503" w:type="dxa"/>
          </w:tcPr>
          <w:p w14:paraId="1F440859" w14:textId="77777777" w:rsidR="0093382B" w:rsidRDefault="0093382B" w:rsidP="00F05A18">
            <w:pPr>
              <w:spacing w:before="80" w:after="80"/>
              <w:jc w:val="center"/>
            </w:pPr>
            <w:r>
              <w:t>1,600</w:t>
            </w:r>
          </w:p>
        </w:tc>
      </w:tr>
      <w:tr w:rsidR="0093382B" w14:paraId="0DD86628" w14:textId="77777777" w:rsidTr="0093382B">
        <w:tc>
          <w:tcPr>
            <w:tcW w:w="1502" w:type="dxa"/>
            <w:shd w:val="clear" w:color="auto" w:fill="D9D9D9" w:themeFill="background1" w:themeFillShade="D9"/>
          </w:tcPr>
          <w:p w14:paraId="12B33C8F" w14:textId="77777777" w:rsidR="0093382B" w:rsidRPr="00B22C2A" w:rsidRDefault="0093382B" w:rsidP="00F05A18">
            <w:pPr>
              <w:spacing w:before="80" w:after="80"/>
              <w:rPr>
                <w:b/>
              </w:rPr>
            </w:pPr>
            <w:r w:rsidRPr="00B22C2A">
              <w:rPr>
                <w:b/>
              </w:rPr>
              <w:t>North East</w:t>
            </w:r>
          </w:p>
        </w:tc>
        <w:tc>
          <w:tcPr>
            <w:tcW w:w="1502" w:type="dxa"/>
          </w:tcPr>
          <w:p w14:paraId="0126FA2B" w14:textId="77777777" w:rsidR="0093382B" w:rsidRDefault="0093382B" w:rsidP="00F05A18">
            <w:pPr>
              <w:spacing w:before="80" w:after="80"/>
              <w:jc w:val="center"/>
            </w:pPr>
            <w:r>
              <w:t>12,550</w:t>
            </w:r>
          </w:p>
        </w:tc>
        <w:tc>
          <w:tcPr>
            <w:tcW w:w="1503" w:type="dxa"/>
          </w:tcPr>
          <w:p w14:paraId="4F57EA49" w14:textId="77777777" w:rsidR="0093382B" w:rsidRDefault="0093382B" w:rsidP="00F05A18">
            <w:pPr>
              <w:spacing w:before="80" w:after="80"/>
              <w:jc w:val="center"/>
            </w:pPr>
            <w:r>
              <w:t>5,050</w:t>
            </w:r>
          </w:p>
        </w:tc>
        <w:tc>
          <w:tcPr>
            <w:tcW w:w="1503" w:type="dxa"/>
          </w:tcPr>
          <w:p w14:paraId="7AC3C1DE" w14:textId="77777777" w:rsidR="0093382B" w:rsidRDefault="0093382B" w:rsidP="00F05A18">
            <w:pPr>
              <w:spacing w:before="80" w:after="80"/>
              <w:jc w:val="center"/>
            </w:pPr>
            <w:r>
              <w:t>2,500</w:t>
            </w:r>
          </w:p>
        </w:tc>
        <w:tc>
          <w:tcPr>
            <w:tcW w:w="1503" w:type="dxa"/>
          </w:tcPr>
          <w:p w14:paraId="42F154AA" w14:textId="77777777" w:rsidR="0093382B" w:rsidRDefault="0093382B" w:rsidP="00F05A18">
            <w:pPr>
              <w:spacing w:before="80" w:after="80"/>
              <w:jc w:val="center"/>
            </w:pPr>
            <w:r>
              <w:t>2,500</w:t>
            </w:r>
          </w:p>
        </w:tc>
        <w:tc>
          <w:tcPr>
            <w:tcW w:w="1503" w:type="dxa"/>
          </w:tcPr>
          <w:p w14:paraId="3F49D0B4" w14:textId="77777777" w:rsidR="0093382B" w:rsidRDefault="0093382B" w:rsidP="00F05A18">
            <w:pPr>
              <w:spacing w:before="80" w:after="80"/>
              <w:jc w:val="center"/>
            </w:pPr>
            <w:r>
              <w:t>2,500</w:t>
            </w:r>
          </w:p>
        </w:tc>
      </w:tr>
      <w:tr w:rsidR="0093382B" w14:paraId="467F2E73" w14:textId="77777777" w:rsidTr="0093382B">
        <w:tc>
          <w:tcPr>
            <w:tcW w:w="1502" w:type="dxa"/>
            <w:shd w:val="clear" w:color="auto" w:fill="D9D9D9" w:themeFill="background1" w:themeFillShade="D9"/>
          </w:tcPr>
          <w:p w14:paraId="41D3BB10" w14:textId="77777777" w:rsidR="0093382B" w:rsidRPr="00B22C2A" w:rsidRDefault="0093382B" w:rsidP="00F05A18">
            <w:pPr>
              <w:spacing w:before="80" w:after="80"/>
              <w:rPr>
                <w:b/>
              </w:rPr>
            </w:pPr>
            <w:r w:rsidRPr="00B22C2A">
              <w:rPr>
                <w:b/>
              </w:rPr>
              <w:t>Gippsland</w:t>
            </w:r>
          </w:p>
        </w:tc>
        <w:tc>
          <w:tcPr>
            <w:tcW w:w="1502" w:type="dxa"/>
          </w:tcPr>
          <w:p w14:paraId="72BC26EE" w14:textId="77777777" w:rsidR="0093382B" w:rsidRDefault="0093382B" w:rsidP="00F05A18">
            <w:pPr>
              <w:spacing w:before="80" w:after="80"/>
              <w:jc w:val="center"/>
            </w:pPr>
            <w:r>
              <w:t>4,000</w:t>
            </w:r>
          </w:p>
        </w:tc>
        <w:tc>
          <w:tcPr>
            <w:tcW w:w="1503" w:type="dxa"/>
          </w:tcPr>
          <w:p w14:paraId="372E7BA9" w14:textId="77777777" w:rsidR="0093382B" w:rsidRDefault="0093382B" w:rsidP="00F05A18">
            <w:pPr>
              <w:spacing w:before="80" w:after="80"/>
              <w:jc w:val="center"/>
            </w:pPr>
            <w:r>
              <w:t>1,600</w:t>
            </w:r>
          </w:p>
        </w:tc>
        <w:tc>
          <w:tcPr>
            <w:tcW w:w="1503" w:type="dxa"/>
          </w:tcPr>
          <w:p w14:paraId="0D4ADE56" w14:textId="77777777" w:rsidR="0093382B" w:rsidRDefault="0093382B" w:rsidP="00F05A18">
            <w:pPr>
              <w:spacing w:before="80" w:after="80"/>
              <w:jc w:val="center"/>
            </w:pPr>
            <w:r>
              <w:t>800</w:t>
            </w:r>
          </w:p>
        </w:tc>
        <w:tc>
          <w:tcPr>
            <w:tcW w:w="1503" w:type="dxa"/>
          </w:tcPr>
          <w:p w14:paraId="0C4037DA" w14:textId="77777777" w:rsidR="0093382B" w:rsidRDefault="0093382B" w:rsidP="00F05A18">
            <w:pPr>
              <w:spacing w:before="80" w:after="80"/>
              <w:jc w:val="center"/>
            </w:pPr>
            <w:r>
              <w:t>800</w:t>
            </w:r>
          </w:p>
        </w:tc>
        <w:tc>
          <w:tcPr>
            <w:tcW w:w="1503" w:type="dxa"/>
          </w:tcPr>
          <w:p w14:paraId="16AB58ED" w14:textId="77777777" w:rsidR="0093382B" w:rsidRDefault="0093382B" w:rsidP="00F05A18">
            <w:pPr>
              <w:spacing w:before="80" w:after="80"/>
              <w:jc w:val="center"/>
            </w:pPr>
            <w:r>
              <w:t>800</w:t>
            </w:r>
          </w:p>
        </w:tc>
      </w:tr>
      <w:tr w:rsidR="0093382B" w14:paraId="39C49090" w14:textId="77777777" w:rsidTr="00F05A18">
        <w:tc>
          <w:tcPr>
            <w:tcW w:w="1502" w:type="dxa"/>
            <w:shd w:val="clear" w:color="auto" w:fill="D9D9D9" w:themeFill="background1" w:themeFillShade="D9"/>
          </w:tcPr>
          <w:p w14:paraId="7C844E6D" w14:textId="77777777" w:rsidR="0093382B" w:rsidRPr="00B22C2A" w:rsidRDefault="0093382B" w:rsidP="00F05A18">
            <w:pPr>
              <w:spacing w:before="80" w:after="80"/>
              <w:rPr>
                <w:b/>
              </w:rPr>
            </w:pPr>
            <w:proofErr w:type="spellStart"/>
            <w:r w:rsidRPr="00B22C2A">
              <w:rPr>
                <w:b/>
              </w:rPr>
              <w:t>Statewide</w:t>
            </w:r>
            <w:proofErr w:type="spellEnd"/>
            <w:r w:rsidRPr="00B22C2A">
              <w:rPr>
                <w:b/>
              </w:rPr>
              <w:t xml:space="preserve"> Total (annual)</w:t>
            </w:r>
          </w:p>
        </w:tc>
        <w:tc>
          <w:tcPr>
            <w:tcW w:w="1502" w:type="dxa"/>
            <w:shd w:val="clear" w:color="auto" w:fill="D9D9D9" w:themeFill="background1" w:themeFillShade="D9"/>
          </w:tcPr>
          <w:p w14:paraId="7AC1AC3F" w14:textId="77777777" w:rsidR="0093382B" w:rsidRPr="00B22C2A" w:rsidRDefault="0093382B" w:rsidP="00F05A18">
            <w:pPr>
              <w:spacing w:before="80" w:after="80"/>
              <w:jc w:val="center"/>
              <w:rPr>
                <w:b/>
              </w:rPr>
            </w:pPr>
            <w:r w:rsidRPr="00B22C2A">
              <w:rPr>
                <w:b/>
              </w:rPr>
              <w:t>60,050</w:t>
            </w:r>
          </w:p>
        </w:tc>
        <w:tc>
          <w:tcPr>
            <w:tcW w:w="1503" w:type="dxa"/>
            <w:shd w:val="clear" w:color="auto" w:fill="D9D9D9" w:themeFill="background1" w:themeFillShade="D9"/>
          </w:tcPr>
          <w:p w14:paraId="72F9E871" w14:textId="77777777" w:rsidR="0093382B" w:rsidRPr="00B22C2A" w:rsidRDefault="0093382B" w:rsidP="00F05A18">
            <w:pPr>
              <w:spacing w:before="80" w:after="80"/>
              <w:jc w:val="center"/>
              <w:rPr>
                <w:b/>
              </w:rPr>
            </w:pPr>
            <w:r w:rsidRPr="00B22C2A">
              <w:rPr>
                <w:b/>
              </w:rPr>
              <w:t>24,050</w:t>
            </w:r>
          </w:p>
        </w:tc>
        <w:tc>
          <w:tcPr>
            <w:tcW w:w="1503" w:type="dxa"/>
            <w:shd w:val="clear" w:color="auto" w:fill="D9D9D9" w:themeFill="background1" w:themeFillShade="D9"/>
          </w:tcPr>
          <w:p w14:paraId="7857251E" w14:textId="77777777" w:rsidR="0093382B" w:rsidRPr="00B22C2A" w:rsidRDefault="0093382B" w:rsidP="00F05A18">
            <w:pPr>
              <w:spacing w:before="80" w:after="80"/>
              <w:jc w:val="center"/>
              <w:rPr>
                <w:b/>
              </w:rPr>
            </w:pPr>
            <w:r w:rsidRPr="00B22C2A">
              <w:rPr>
                <w:b/>
              </w:rPr>
              <w:t>12,000</w:t>
            </w:r>
          </w:p>
        </w:tc>
        <w:tc>
          <w:tcPr>
            <w:tcW w:w="1503" w:type="dxa"/>
            <w:shd w:val="clear" w:color="auto" w:fill="D9D9D9" w:themeFill="background1" w:themeFillShade="D9"/>
          </w:tcPr>
          <w:p w14:paraId="4237E9A8" w14:textId="77777777" w:rsidR="0093382B" w:rsidRPr="00B22C2A" w:rsidRDefault="0093382B" w:rsidP="00F05A18">
            <w:pPr>
              <w:spacing w:before="80" w:after="80"/>
              <w:jc w:val="center"/>
              <w:rPr>
                <w:b/>
              </w:rPr>
            </w:pPr>
            <w:r w:rsidRPr="00B22C2A">
              <w:rPr>
                <w:b/>
              </w:rPr>
              <w:t>12,000</w:t>
            </w:r>
          </w:p>
        </w:tc>
        <w:tc>
          <w:tcPr>
            <w:tcW w:w="1503" w:type="dxa"/>
            <w:shd w:val="clear" w:color="auto" w:fill="D9D9D9" w:themeFill="background1" w:themeFillShade="D9"/>
          </w:tcPr>
          <w:p w14:paraId="760BB250" w14:textId="77777777" w:rsidR="0093382B" w:rsidRPr="00B22C2A" w:rsidRDefault="0093382B" w:rsidP="00F05A18">
            <w:pPr>
              <w:spacing w:before="80" w:after="80"/>
              <w:jc w:val="center"/>
              <w:rPr>
                <w:b/>
              </w:rPr>
            </w:pPr>
            <w:r w:rsidRPr="00B22C2A">
              <w:rPr>
                <w:b/>
              </w:rPr>
              <w:t>12,000</w:t>
            </w:r>
          </w:p>
        </w:tc>
      </w:tr>
    </w:tbl>
    <w:p w14:paraId="3F6AB27E" w14:textId="77777777" w:rsidR="0082708B" w:rsidRPr="00DF4F76" w:rsidRDefault="00F75C9E" w:rsidP="00E63C9B">
      <w:pPr>
        <w:textAlignment w:val="baseline"/>
        <w:rPr>
          <w:rFonts w:ascii="Calibri" w:eastAsia="Calibri" w:hAnsi="Calibri" w:cs="Calibri"/>
          <w:b/>
          <w:noProof/>
          <w:color w:val="4472C4" w:themeColor="accent1"/>
          <w:sz w:val="24"/>
          <w:szCs w:val="24"/>
          <w:lang w:eastAsia="en-AU"/>
        </w:rPr>
      </w:pPr>
      <w:r>
        <w:rPr>
          <w:rFonts w:ascii="Calibri" w:eastAsia="Calibri" w:hAnsi="Calibri" w:cs="Calibri"/>
          <w:b/>
          <w:noProof/>
          <w:color w:val="4472C4" w:themeColor="accent1"/>
          <w:sz w:val="24"/>
          <w:szCs w:val="24"/>
          <w:lang w:eastAsia="en-AU"/>
        </w:rPr>
        <w:lastRenderedPageBreak/>
        <w:t>2</w:t>
      </w:r>
      <w:r w:rsidR="0082708B" w:rsidRPr="00DF4F76">
        <w:rPr>
          <w:rFonts w:ascii="Calibri" w:eastAsia="Calibri" w:hAnsi="Calibri" w:cs="Calibri"/>
          <w:b/>
          <w:noProof/>
          <w:color w:val="4472C4" w:themeColor="accent1"/>
          <w:sz w:val="24"/>
          <w:szCs w:val="24"/>
          <w:lang w:eastAsia="en-AU"/>
        </w:rPr>
        <w:t xml:space="preserve">020 Tag allocation </w:t>
      </w:r>
    </w:p>
    <w:p w14:paraId="7B4E507B" w14:textId="5DA6C6E9" w:rsidR="00E63C9B" w:rsidRPr="00A0566F" w:rsidRDefault="008E22F9" w:rsidP="00E63C9B">
      <w:r>
        <w:t>N</w:t>
      </w:r>
      <w:r w:rsidR="00E63C9B" w:rsidRPr="00A0566F">
        <w:t xml:space="preserve">ew tag allocation rules </w:t>
      </w:r>
      <w:r>
        <w:t>will be introduced in</w:t>
      </w:r>
      <w:r w:rsidRPr="00A0566F">
        <w:t xml:space="preserve"> </w:t>
      </w:r>
      <w:r w:rsidR="00E63C9B" w:rsidRPr="00A0566F">
        <w:t>2020</w:t>
      </w:r>
      <w:r>
        <w:t>, t</w:t>
      </w:r>
      <w:r w:rsidRPr="00A0566F">
        <w:t xml:space="preserve">o </w:t>
      </w:r>
      <w:r>
        <w:t>prevent</w:t>
      </w:r>
      <w:r w:rsidRPr="00A0566F">
        <w:t xml:space="preserve"> non-active harvesters </w:t>
      </w:r>
      <w:r>
        <w:t>from</w:t>
      </w:r>
      <w:r w:rsidRPr="00A0566F">
        <w:t xml:space="preserve"> stockpiling </w:t>
      </w:r>
      <w:r>
        <w:t xml:space="preserve">unused </w:t>
      </w:r>
      <w:r w:rsidRPr="00A0566F">
        <w:t>tags</w:t>
      </w:r>
      <w:r w:rsidR="00E63C9B" w:rsidRPr="00A0566F">
        <w:t>. For 2020, the allocation rules will be as follows:</w:t>
      </w:r>
    </w:p>
    <w:tbl>
      <w:tblPr>
        <w:tblStyle w:val="TableGrid"/>
        <w:tblW w:w="0" w:type="auto"/>
        <w:tblLook w:val="04A0" w:firstRow="1" w:lastRow="0" w:firstColumn="1" w:lastColumn="0" w:noHBand="0" w:noVBand="1"/>
      </w:tblPr>
      <w:tblGrid>
        <w:gridCol w:w="3005"/>
        <w:gridCol w:w="3005"/>
        <w:gridCol w:w="3006"/>
      </w:tblGrid>
      <w:tr w:rsidR="009A4515" w14:paraId="432A30F8" w14:textId="77777777" w:rsidTr="00F75C9E">
        <w:tc>
          <w:tcPr>
            <w:tcW w:w="3005" w:type="dxa"/>
            <w:shd w:val="clear" w:color="auto" w:fill="BDD6EE" w:themeFill="accent5" w:themeFillTint="66"/>
          </w:tcPr>
          <w:p w14:paraId="06726E2E" w14:textId="77777777" w:rsidR="009A4515" w:rsidRPr="006B3D50" w:rsidRDefault="009A4515" w:rsidP="00F05A18">
            <w:pPr>
              <w:spacing w:before="120" w:after="120"/>
              <w:rPr>
                <w:b/>
              </w:rPr>
            </w:pPr>
            <w:bookmarkStart w:id="5" w:name="_Hlk26794273"/>
            <w:bookmarkStart w:id="6" w:name="_Hlk27474216"/>
            <w:r w:rsidRPr="006B3D50">
              <w:rPr>
                <w:b/>
              </w:rPr>
              <w:t>Demonstrated harvest status</w:t>
            </w:r>
          </w:p>
        </w:tc>
        <w:tc>
          <w:tcPr>
            <w:tcW w:w="3005" w:type="dxa"/>
            <w:shd w:val="clear" w:color="auto" w:fill="BDD6EE" w:themeFill="accent5" w:themeFillTint="66"/>
          </w:tcPr>
          <w:p w14:paraId="6EF998F9" w14:textId="77777777" w:rsidR="009A4515" w:rsidRPr="006B3D50" w:rsidRDefault="009A4515" w:rsidP="00F05A18">
            <w:pPr>
              <w:spacing w:before="120" w:after="120"/>
              <w:rPr>
                <w:b/>
              </w:rPr>
            </w:pPr>
            <w:r w:rsidRPr="006B3D50">
              <w:rPr>
                <w:b/>
              </w:rPr>
              <w:t>Non-active Harvesters</w:t>
            </w:r>
          </w:p>
        </w:tc>
        <w:tc>
          <w:tcPr>
            <w:tcW w:w="3006" w:type="dxa"/>
            <w:shd w:val="clear" w:color="auto" w:fill="BDD6EE" w:themeFill="accent5" w:themeFillTint="66"/>
          </w:tcPr>
          <w:p w14:paraId="786E867C" w14:textId="77777777" w:rsidR="009A4515" w:rsidRPr="006B3D50" w:rsidRDefault="009A4515" w:rsidP="00F05A18">
            <w:pPr>
              <w:spacing w:before="120" w:after="120"/>
              <w:rPr>
                <w:b/>
              </w:rPr>
            </w:pPr>
            <w:r w:rsidRPr="006B3D50">
              <w:rPr>
                <w:b/>
              </w:rPr>
              <w:t>Active Harvesters</w:t>
            </w:r>
            <w:r w:rsidR="00F75C9E">
              <w:rPr>
                <w:b/>
              </w:rPr>
              <w:t>*</w:t>
            </w:r>
          </w:p>
        </w:tc>
      </w:tr>
      <w:tr w:rsidR="009A4515" w14:paraId="30E3001E" w14:textId="77777777" w:rsidTr="001908BC">
        <w:tc>
          <w:tcPr>
            <w:tcW w:w="3005" w:type="dxa"/>
            <w:shd w:val="clear" w:color="auto" w:fill="D9D9D9" w:themeFill="background1" w:themeFillShade="D9"/>
          </w:tcPr>
          <w:p w14:paraId="44A55F8D" w14:textId="77777777" w:rsidR="009A4515" w:rsidRPr="006B3D50" w:rsidRDefault="009A4515" w:rsidP="00F05A18">
            <w:pPr>
              <w:spacing w:before="120" w:after="120"/>
              <w:rPr>
                <w:b/>
              </w:rPr>
            </w:pPr>
            <w:r w:rsidRPr="006B3D50">
              <w:rPr>
                <w:b/>
              </w:rPr>
              <w:t>Initial tag allowance</w:t>
            </w:r>
          </w:p>
        </w:tc>
        <w:tc>
          <w:tcPr>
            <w:tcW w:w="3005" w:type="dxa"/>
          </w:tcPr>
          <w:p w14:paraId="174F8CAD" w14:textId="77777777" w:rsidR="009A4515" w:rsidRDefault="009A4515" w:rsidP="00F05A18">
            <w:pPr>
              <w:spacing w:before="120" w:after="120"/>
            </w:pPr>
            <w:r>
              <w:t>50 tags, per zone</w:t>
            </w:r>
          </w:p>
        </w:tc>
        <w:tc>
          <w:tcPr>
            <w:tcW w:w="3006" w:type="dxa"/>
          </w:tcPr>
          <w:p w14:paraId="61D48444" w14:textId="77777777" w:rsidR="009A4515" w:rsidRDefault="009A4515" w:rsidP="00F05A18">
            <w:pPr>
              <w:spacing w:before="120" w:after="120"/>
            </w:pPr>
            <w:r>
              <w:t>200 tags or 30% of the total quarterly release, whichever number is lower, per zone</w:t>
            </w:r>
          </w:p>
        </w:tc>
      </w:tr>
      <w:tr w:rsidR="009A4515" w14:paraId="0821B601" w14:textId="77777777" w:rsidTr="001908BC">
        <w:tc>
          <w:tcPr>
            <w:tcW w:w="3005" w:type="dxa"/>
            <w:shd w:val="clear" w:color="auto" w:fill="D9D9D9" w:themeFill="background1" w:themeFillShade="D9"/>
          </w:tcPr>
          <w:p w14:paraId="0F884975" w14:textId="77777777" w:rsidR="009A4515" w:rsidRPr="006B3D50" w:rsidRDefault="009A4515" w:rsidP="00F05A18">
            <w:pPr>
              <w:spacing w:before="120" w:after="120"/>
              <w:rPr>
                <w:b/>
              </w:rPr>
            </w:pPr>
            <w:r w:rsidRPr="006B3D50">
              <w:rPr>
                <w:b/>
              </w:rPr>
              <w:t xml:space="preserve">Subsequent tag allowance </w:t>
            </w:r>
          </w:p>
        </w:tc>
        <w:tc>
          <w:tcPr>
            <w:tcW w:w="3005" w:type="dxa"/>
          </w:tcPr>
          <w:p w14:paraId="7A76B6B6" w14:textId="77777777" w:rsidR="009A4515" w:rsidRDefault="009A4515" w:rsidP="00F05A18">
            <w:pPr>
              <w:spacing w:before="120" w:after="120"/>
            </w:pPr>
            <w:r>
              <w:t>200 tags or 30% of the total quarterly release, whichever number is lower, per zone</w:t>
            </w:r>
          </w:p>
        </w:tc>
        <w:tc>
          <w:tcPr>
            <w:tcW w:w="3006" w:type="dxa"/>
          </w:tcPr>
          <w:p w14:paraId="374C6093" w14:textId="77777777" w:rsidR="009A4515" w:rsidRDefault="009A4515" w:rsidP="00F05A18">
            <w:pPr>
              <w:spacing w:before="120" w:after="120"/>
            </w:pPr>
            <w:r>
              <w:t>200 tags or 30% of the total quarterly release, whichever number is lower, per zone</w:t>
            </w:r>
          </w:p>
        </w:tc>
      </w:tr>
      <w:tr w:rsidR="009A4515" w14:paraId="0D24D2F8" w14:textId="77777777" w:rsidTr="001908BC">
        <w:tc>
          <w:tcPr>
            <w:tcW w:w="9016" w:type="dxa"/>
            <w:gridSpan w:val="3"/>
          </w:tcPr>
          <w:p w14:paraId="1D317366" w14:textId="77777777" w:rsidR="009A4515" w:rsidRPr="007C0ECB" w:rsidRDefault="009A4515" w:rsidP="00F05A18">
            <w:pPr>
              <w:spacing w:before="120" w:after="120"/>
              <w:rPr>
                <w:sz w:val="20"/>
                <w:szCs w:val="20"/>
              </w:rPr>
            </w:pPr>
            <w:r w:rsidRPr="00F05A18">
              <w:rPr>
                <w:i/>
                <w:sz w:val="20"/>
                <w:szCs w:val="20"/>
              </w:rPr>
              <w:t xml:space="preserve">*An active harvester – a harvester who has been active for three months prior to applying for tags and who has consumed (used) at least 45% of their total tags issued to them within this three-month period </w:t>
            </w:r>
          </w:p>
        </w:tc>
      </w:tr>
      <w:tr w:rsidR="009A4515" w14:paraId="132EB022" w14:textId="77777777" w:rsidTr="001908BC">
        <w:tc>
          <w:tcPr>
            <w:tcW w:w="9016" w:type="dxa"/>
            <w:gridSpan w:val="3"/>
          </w:tcPr>
          <w:p w14:paraId="58BE2F70" w14:textId="77777777" w:rsidR="009A4515" w:rsidRPr="007C0ECB" w:rsidRDefault="009A4515" w:rsidP="00F05A18">
            <w:pPr>
              <w:spacing w:before="120" w:after="120"/>
              <w:rPr>
                <w:i/>
                <w:sz w:val="20"/>
                <w:szCs w:val="20"/>
              </w:rPr>
            </w:pPr>
            <w:r w:rsidRPr="00F05A18">
              <w:rPr>
                <w:i/>
                <w:sz w:val="20"/>
                <w:szCs w:val="20"/>
              </w:rPr>
              <w:t>Before being able to apply for subsequent tag allocations, the harvester must have consumed (used) 50% of the tags issued to them.</w:t>
            </w:r>
          </w:p>
        </w:tc>
      </w:tr>
      <w:tr w:rsidR="009A4515" w14:paraId="38B6B0A4" w14:textId="77777777" w:rsidTr="001908BC">
        <w:tc>
          <w:tcPr>
            <w:tcW w:w="9016" w:type="dxa"/>
            <w:gridSpan w:val="3"/>
          </w:tcPr>
          <w:p w14:paraId="7070F6BD" w14:textId="7C482344" w:rsidR="009A4515" w:rsidRPr="00CF1AC6" w:rsidRDefault="009A4515" w:rsidP="00F05A18">
            <w:pPr>
              <w:spacing w:before="120" w:after="120"/>
              <w:rPr>
                <w:sz w:val="20"/>
                <w:szCs w:val="20"/>
              </w:rPr>
            </w:pPr>
            <w:bookmarkStart w:id="7" w:name="_GoBack" w:colFirst="0" w:colLast="0"/>
            <w:r w:rsidRPr="00CF1AC6">
              <w:rPr>
                <w:i/>
                <w:sz w:val="20"/>
                <w:szCs w:val="20"/>
              </w:rPr>
              <w:t>The annual quota will be capped quarterly.  This will be posted on the web:</w:t>
            </w:r>
            <w:r w:rsidRPr="00CF1AC6">
              <w:rPr>
                <w:sz w:val="20"/>
                <w:szCs w:val="20"/>
              </w:rPr>
              <w:t xml:space="preserve"> </w:t>
            </w:r>
            <w:hyperlink r:id="rId15" w:history="1">
              <w:r w:rsidR="00CF1AC6" w:rsidRPr="00CF1AC6">
                <w:rPr>
                  <w:rStyle w:val="Hyperlink"/>
                  <w:sz w:val="20"/>
                  <w:szCs w:val="20"/>
                </w:rPr>
                <w:t>djpr.vic.gov.au/game-hunting/kangaroo-harvesting</w:t>
              </w:r>
            </w:hyperlink>
            <w:r w:rsidR="00CF1AC6" w:rsidRPr="00CF1AC6">
              <w:rPr>
                <w:sz w:val="20"/>
                <w:szCs w:val="20"/>
              </w:rPr>
              <w:t xml:space="preserve"> </w:t>
            </w:r>
          </w:p>
        </w:tc>
      </w:tr>
      <w:bookmarkEnd w:id="5"/>
      <w:bookmarkEnd w:id="7"/>
    </w:tbl>
    <w:p w14:paraId="53A34BE2" w14:textId="77777777" w:rsidR="00AC51C1" w:rsidRDefault="00AC51C1" w:rsidP="00E63C9B">
      <w:pPr>
        <w:rPr>
          <w:b/>
          <w:color w:val="4472C4" w:themeColor="accent1"/>
          <w:sz w:val="24"/>
          <w:szCs w:val="24"/>
        </w:rPr>
        <w:sectPr w:rsidR="00AC51C1" w:rsidSect="00F05A18">
          <w:type w:val="continuous"/>
          <w:pgSz w:w="11906" w:h="16838"/>
          <w:pgMar w:top="2269" w:right="1440" w:bottom="1135" w:left="1440" w:header="708" w:footer="708" w:gutter="0"/>
          <w:cols w:space="708"/>
          <w:docGrid w:linePitch="360"/>
        </w:sectPr>
      </w:pPr>
    </w:p>
    <w:p w14:paraId="1A891A79" w14:textId="77777777" w:rsidR="00C76EF1" w:rsidRPr="00DF4F76" w:rsidRDefault="0082708B" w:rsidP="00E63C9B">
      <w:pPr>
        <w:rPr>
          <w:b/>
          <w:color w:val="4472C4" w:themeColor="accent1"/>
          <w:sz w:val="24"/>
          <w:szCs w:val="24"/>
        </w:rPr>
      </w:pPr>
      <w:r w:rsidRPr="00DF4F76">
        <w:rPr>
          <w:b/>
          <w:color w:val="4472C4" w:themeColor="accent1"/>
          <w:sz w:val="24"/>
          <w:szCs w:val="24"/>
        </w:rPr>
        <w:t xml:space="preserve">Regulatory </w:t>
      </w:r>
      <w:r w:rsidR="00C76EF1" w:rsidRPr="00DF4F76">
        <w:rPr>
          <w:b/>
          <w:color w:val="4472C4" w:themeColor="accent1"/>
          <w:sz w:val="24"/>
          <w:szCs w:val="24"/>
        </w:rPr>
        <w:t>Review</w:t>
      </w:r>
    </w:p>
    <w:p w14:paraId="19B60130" w14:textId="1DB6234A" w:rsidR="00A860A8" w:rsidRDefault="00C76EF1" w:rsidP="00E63C9B">
      <w:pPr>
        <w:rPr>
          <w:sz w:val="24"/>
          <w:szCs w:val="24"/>
        </w:rPr>
      </w:pPr>
      <w:r>
        <w:rPr>
          <w:sz w:val="24"/>
          <w:szCs w:val="24"/>
        </w:rPr>
        <w:t xml:space="preserve">In the first quarter of 2020, </w:t>
      </w:r>
      <w:r w:rsidR="007236E1">
        <w:rPr>
          <w:sz w:val="24"/>
          <w:szCs w:val="24"/>
        </w:rPr>
        <w:t xml:space="preserve">the Victorian Government </w:t>
      </w:r>
      <w:r>
        <w:rPr>
          <w:sz w:val="24"/>
          <w:szCs w:val="24"/>
        </w:rPr>
        <w:t>will review the current KHP with a view to develop a better regulatory framework to support it.  Harvesters will</w:t>
      </w:r>
      <w:r w:rsidR="007236E1">
        <w:rPr>
          <w:sz w:val="24"/>
          <w:szCs w:val="24"/>
        </w:rPr>
        <w:t xml:space="preserve"> </w:t>
      </w:r>
      <w:r>
        <w:rPr>
          <w:sz w:val="24"/>
          <w:szCs w:val="24"/>
        </w:rPr>
        <w:t xml:space="preserve">be notified in on how they can </w:t>
      </w:r>
      <w:r w:rsidR="00DB755F">
        <w:rPr>
          <w:sz w:val="24"/>
          <w:szCs w:val="24"/>
        </w:rPr>
        <w:t>take part</w:t>
      </w:r>
      <w:r w:rsidR="00F05A18">
        <w:rPr>
          <w:sz w:val="24"/>
          <w:szCs w:val="24"/>
        </w:rPr>
        <w:t>.</w:t>
      </w:r>
    </w:p>
    <w:p w14:paraId="08E3C007" w14:textId="77777777" w:rsidR="00AC51C1" w:rsidRDefault="00AC51C1" w:rsidP="00E63C9B">
      <w:pPr>
        <w:rPr>
          <w:sz w:val="24"/>
          <w:szCs w:val="24"/>
        </w:rPr>
      </w:pPr>
    </w:p>
    <w:p w14:paraId="09495C8A" w14:textId="4FBFE583" w:rsidR="007C0ECB" w:rsidRPr="00F05A18" w:rsidRDefault="00A860A8" w:rsidP="00E63C9B">
      <w:pPr>
        <w:rPr>
          <w:b/>
          <w:color w:val="4472C4" w:themeColor="accent1"/>
          <w:sz w:val="24"/>
          <w:szCs w:val="24"/>
        </w:rPr>
      </w:pPr>
      <w:r>
        <w:rPr>
          <w:b/>
          <w:color w:val="4472C4" w:themeColor="accent1"/>
          <w:sz w:val="24"/>
          <w:szCs w:val="24"/>
        </w:rPr>
        <w:t>See you</w:t>
      </w:r>
      <w:r w:rsidR="007C0ECB" w:rsidRPr="00F05A18">
        <w:rPr>
          <w:b/>
          <w:color w:val="4472C4" w:themeColor="accent1"/>
          <w:sz w:val="24"/>
          <w:szCs w:val="24"/>
        </w:rPr>
        <w:t xml:space="preserve"> in 2020</w:t>
      </w:r>
    </w:p>
    <w:p w14:paraId="35E21D48" w14:textId="0B8F6BF5" w:rsidR="00A860A8" w:rsidRPr="00F05A18" w:rsidRDefault="00DB755F" w:rsidP="00E63C9B">
      <w:pPr>
        <w:rPr>
          <w:sz w:val="24"/>
          <w:szCs w:val="24"/>
        </w:rPr>
      </w:pPr>
      <w:r w:rsidRPr="00F05A18">
        <w:rPr>
          <w:sz w:val="24"/>
          <w:szCs w:val="24"/>
        </w:rPr>
        <w:t>From all of us here – thank</w:t>
      </w:r>
      <w:r w:rsidR="00A860A8" w:rsidRPr="00F05A18">
        <w:rPr>
          <w:sz w:val="24"/>
          <w:szCs w:val="24"/>
        </w:rPr>
        <w:t xml:space="preserve"> you</w:t>
      </w:r>
      <w:r w:rsidR="00AC51C1" w:rsidRPr="00F05A18">
        <w:rPr>
          <w:sz w:val="24"/>
          <w:szCs w:val="24"/>
        </w:rPr>
        <w:t xml:space="preserve"> for</w:t>
      </w:r>
      <w:r w:rsidRPr="00F05A18">
        <w:rPr>
          <w:sz w:val="24"/>
          <w:szCs w:val="24"/>
        </w:rPr>
        <w:t xml:space="preserve"> your </w:t>
      </w:r>
      <w:r w:rsidR="00F05A18">
        <w:rPr>
          <w:sz w:val="24"/>
          <w:szCs w:val="24"/>
        </w:rPr>
        <w:t>participation</w:t>
      </w:r>
      <w:r w:rsidR="00D1073E" w:rsidRPr="00F05A18">
        <w:rPr>
          <w:sz w:val="24"/>
          <w:szCs w:val="24"/>
        </w:rPr>
        <w:t xml:space="preserve"> </w:t>
      </w:r>
      <w:r w:rsidR="00A860A8" w:rsidRPr="00F05A18">
        <w:rPr>
          <w:sz w:val="24"/>
          <w:szCs w:val="24"/>
        </w:rPr>
        <w:t>as we continue to implement the Kangaroo Harvest Program</w:t>
      </w:r>
      <w:r w:rsidR="00D1073E" w:rsidRPr="00F05A18">
        <w:rPr>
          <w:sz w:val="24"/>
          <w:szCs w:val="24"/>
        </w:rPr>
        <w:t>.</w:t>
      </w:r>
      <w:r w:rsidRPr="00F05A18">
        <w:rPr>
          <w:sz w:val="24"/>
          <w:szCs w:val="24"/>
        </w:rPr>
        <w:t xml:space="preserve"> </w:t>
      </w:r>
    </w:p>
    <w:p w14:paraId="2B91013A" w14:textId="5B14FF52" w:rsidR="00DC3224" w:rsidRDefault="00D1073E" w:rsidP="00E63C9B">
      <w:pPr>
        <w:rPr>
          <w:b/>
          <w:i/>
          <w:sz w:val="24"/>
          <w:szCs w:val="24"/>
        </w:rPr>
      </w:pPr>
      <w:r w:rsidRPr="00F05A18">
        <w:rPr>
          <w:sz w:val="24"/>
          <w:szCs w:val="24"/>
        </w:rPr>
        <w:t>W</w:t>
      </w:r>
      <w:r w:rsidR="00DB755F" w:rsidRPr="00F05A18">
        <w:rPr>
          <w:sz w:val="24"/>
          <w:szCs w:val="24"/>
        </w:rPr>
        <w:t>e wish you a safe festive season</w:t>
      </w:r>
      <w:r w:rsidRPr="00F05A18">
        <w:rPr>
          <w:sz w:val="24"/>
          <w:szCs w:val="24"/>
        </w:rPr>
        <w:t>.</w:t>
      </w:r>
      <w:bookmarkEnd w:id="6"/>
    </w:p>
    <w:p w14:paraId="241E9DF3" w14:textId="459E4506" w:rsidR="00DC3224" w:rsidRDefault="00DC3224" w:rsidP="00E63C9B">
      <w:pPr>
        <w:rPr>
          <w:b/>
          <w:i/>
          <w:sz w:val="24"/>
          <w:szCs w:val="24"/>
        </w:rPr>
      </w:pPr>
    </w:p>
    <w:p w14:paraId="63CAD789" w14:textId="77777777" w:rsidR="00DC3224" w:rsidRPr="00AC51C1" w:rsidRDefault="00DC3224" w:rsidP="00E63C9B">
      <w:pPr>
        <w:rPr>
          <w:b/>
          <w:i/>
          <w:sz w:val="24"/>
          <w:szCs w:val="24"/>
        </w:rPr>
      </w:pPr>
    </w:p>
    <w:p w14:paraId="5BE9D149" w14:textId="77777777" w:rsidR="00E63C9B" w:rsidRDefault="00E63C9B" w:rsidP="00E63C9B">
      <w:pPr>
        <w:sectPr w:rsidR="00E63C9B" w:rsidSect="0093382B">
          <w:type w:val="continuous"/>
          <w:pgSz w:w="11906" w:h="16838"/>
          <w:pgMar w:top="1440" w:right="1440" w:bottom="1440" w:left="1440" w:header="708" w:footer="708" w:gutter="0"/>
          <w:cols w:num="2" w:space="708"/>
          <w:docGrid w:linePitch="360"/>
        </w:sectPr>
      </w:pPr>
    </w:p>
    <w:bookmarkEnd w:id="0"/>
    <w:p w14:paraId="283A50A9" w14:textId="77777777" w:rsidR="00E63C9B" w:rsidRPr="00DF4F76" w:rsidRDefault="00E63C9B" w:rsidP="00E63C9B">
      <w:pPr>
        <w:rPr>
          <w:i/>
          <w:sz w:val="24"/>
          <w:szCs w:val="24"/>
        </w:rPr>
      </w:pPr>
    </w:p>
    <w:sectPr w:rsidR="00E63C9B" w:rsidRPr="00DF4F76" w:rsidSect="0093382B">
      <w:type w:val="continuous"/>
      <w:pgSz w:w="11906" w:h="16838"/>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0ACA35" w14:textId="77777777" w:rsidR="00DE3BA8" w:rsidRDefault="00DE3BA8" w:rsidP="0082708B">
      <w:pPr>
        <w:spacing w:after="0" w:line="240" w:lineRule="auto"/>
      </w:pPr>
      <w:r>
        <w:separator/>
      </w:r>
    </w:p>
  </w:endnote>
  <w:endnote w:type="continuationSeparator" w:id="0">
    <w:p w14:paraId="67E84B17" w14:textId="77777777" w:rsidR="00DE3BA8" w:rsidRDefault="00DE3BA8" w:rsidP="008270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4862152"/>
      <w:docPartObj>
        <w:docPartGallery w:val="Page Numbers (Bottom of Page)"/>
        <w:docPartUnique/>
      </w:docPartObj>
    </w:sdtPr>
    <w:sdtEndPr/>
    <w:sdtContent>
      <w:sdt>
        <w:sdtPr>
          <w:id w:val="-493408229"/>
          <w:docPartObj>
            <w:docPartGallery w:val="Page Numbers (Top of Page)"/>
            <w:docPartUnique/>
          </w:docPartObj>
        </w:sdtPr>
        <w:sdtEndPr/>
        <w:sdtContent>
          <w:p w14:paraId="37A04630" w14:textId="77777777" w:rsidR="00AC51C1" w:rsidRDefault="00AC51C1" w:rsidP="00AC51C1">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1AB17F20" w14:textId="77777777" w:rsidR="00AC51C1" w:rsidRDefault="00AC51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7C7DC6" w14:textId="77777777" w:rsidR="00DE3BA8" w:rsidRDefault="00DE3BA8" w:rsidP="0082708B">
      <w:pPr>
        <w:spacing w:after="0" w:line="240" w:lineRule="auto"/>
      </w:pPr>
      <w:r>
        <w:separator/>
      </w:r>
    </w:p>
  </w:footnote>
  <w:footnote w:type="continuationSeparator" w:id="0">
    <w:p w14:paraId="0133CF50" w14:textId="77777777" w:rsidR="00DE3BA8" w:rsidRDefault="00DE3BA8" w:rsidP="008270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48C6D" w14:textId="77777777" w:rsidR="0082708B" w:rsidRPr="00590960" w:rsidRDefault="0082708B" w:rsidP="0082708B">
    <w:pPr>
      <w:pStyle w:val="Header"/>
      <w:jc w:val="right"/>
      <w:rPr>
        <w:rFonts w:cstheme="minorHAnsi"/>
        <w:b/>
        <w:sz w:val="28"/>
      </w:rPr>
    </w:pPr>
    <w:r w:rsidRPr="00590960">
      <w:rPr>
        <w:rFonts w:cstheme="minorHAnsi"/>
        <w:b/>
        <w:noProof/>
        <w:sz w:val="28"/>
      </w:rPr>
      <w:drawing>
        <wp:anchor distT="114300" distB="114300" distL="114300" distR="114300" simplePos="0" relativeHeight="251659264" behindDoc="0" locked="0" layoutInCell="1" hidden="0" allowOverlap="1" wp14:anchorId="702CD933" wp14:editId="03957098">
          <wp:simplePos x="0" y="0"/>
          <wp:positionH relativeFrom="column">
            <wp:posOffset>-366395</wp:posOffset>
          </wp:positionH>
          <wp:positionV relativeFrom="paragraph">
            <wp:posOffset>-189865</wp:posOffset>
          </wp:positionV>
          <wp:extent cx="1743075" cy="533400"/>
          <wp:effectExtent l="0" t="0" r="9525" b="0"/>
          <wp:wrapSquare wrapText="bothSides" distT="114300" distB="114300" distL="114300" distR="114300"/>
          <wp:docPr id="6"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
                  <a:srcRect/>
                  <a:stretch>
                    <a:fillRect/>
                  </a:stretch>
                </pic:blipFill>
                <pic:spPr>
                  <a:xfrm>
                    <a:off x="0" y="0"/>
                    <a:ext cx="1743075" cy="533400"/>
                  </a:xfrm>
                  <a:prstGeom prst="rect">
                    <a:avLst/>
                  </a:prstGeom>
                  <a:ln/>
                </pic:spPr>
              </pic:pic>
            </a:graphicData>
          </a:graphic>
          <wp14:sizeRelH relativeFrom="margin">
            <wp14:pctWidth>0</wp14:pctWidth>
          </wp14:sizeRelH>
          <wp14:sizeRelV relativeFrom="margin">
            <wp14:pctHeight>0</wp14:pctHeight>
          </wp14:sizeRelV>
        </wp:anchor>
      </w:drawing>
    </w:r>
    <w:r w:rsidRPr="00590960">
      <w:rPr>
        <w:rFonts w:cstheme="minorHAnsi"/>
        <w:b/>
        <w:sz w:val="28"/>
      </w:rPr>
      <w:t xml:space="preserve">Enquiries to: </w:t>
    </w:r>
    <w:hyperlink r:id="rId2" w:history="1">
      <w:r w:rsidRPr="00590960">
        <w:rPr>
          <w:rStyle w:val="Hyperlink"/>
          <w:rFonts w:cstheme="minorHAnsi"/>
          <w:b/>
          <w:sz w:val="28"/>
        </w:rPr>
        <w:t>kangarooharvesting@ecodev.vic.gov.au</w:t>
      </w:r>
    </w:hyperlink>
  </w:p>
  <w:p w14:paraId="3CDC176D" w14:textId="77777777" w:rsidR="0082708B" w:rsidRDefault="008270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B229E"/>
    <w:multiLevelType w:val="hybridMultilevel"/>
    <w:tmpl w:val="70E8D3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164D"/>
    <w:rsid w:val="00037698"/>
    <w:rsid w:val="00051C8F"/>
    <w:rsid w:val="0007714B"/>
    <w:rsid w:val="00082A84"/>
    <w:rsid w:val="000A5C58"/>
    <w:rsid w:val="000B7F6F"/>
    <w:rsid w:val="001104B3"/>
    <w:rsid w:val="001C2285"/>
    <w:rsid w:val="0031164D"/>
    <w:rsid w:val="00417F4A"/>
    <w:rsid w:val="00443A98"/>
    <w:rsid w:val="00462EC5"/>
    <w:rsid w:val="004B5FF8"/>
    <w:rsid w:val="006446B0"/>
    <w:rsid w:val="006A57D7"/>
    <w:rsid w:val="007236E1"/>
    <w:rsid w:val="007870F9"/>
    <w:rsid w:val="007C0ECB"/>
    <w:rsid w:val="0082708B"/>
    <w:rsid w:val="00872EC8"/>
    <w:rsid w:val="008E22F9"/>
    <w:rsid w:val="008F3600"/>
    <w:rsid w:val="0093382B"/>
    <w:rsid w:val="00971717"/>
    <w:rsid w:val="009A4515"/>
    <w:rsid w:val="009E58F7"/>
    <w:rsid w:val="009F524D"/>
    <w:rsid w:val="009F65A7"/>
    <w:rsid w:val="00A860A8"/>
    <w:rsid w:val="00AB2641"/>
    <w:rsid w:val="00AC51C1"/>
    <w:rsid w:val="00AD5826"/>
    <w:rsid w:val="00BB404E"/>
    <w:rsid w:val="00BE6DFE"/>
    <w:rsid w:val="00C76EF1"/>
    <w:rsid w:val="00CC3683"/>
    <w:rsid w:val="00CF1AC6"/>
    <w:rsid w:val="00D1073E"/>
    <w:rsid w:val="00DB755F"/>
    <w:rsid w:val="00DC3224"/>
    <w:rsid w:val="00DC4D91"/>
    <w:rsid w:val="00DE3BA8"/>
    <w:rsid w:val="00DF4F76"/>
    <w:rsid w:val="00E10A0C"/>
    <w:rsid w:val="00E43C16"/>
    <w:rsid w:val="00E63C9B"/>
    <w:rsid w:val="00F05A18"/>
    <w:rsid w:val="00F22802"/>
    <w:rsid w:val="00F75C9E"/>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70D1C76"/>
  <w15:chartTrackingRefBased/>
  <w15:docId w15:val="{18967456-7AAC-4B73-9234-BBC56002D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164D"/>
    <w:pPr>
      <w:spacing w:after="0" w:line="240" w:lineRule="auto"/>
      <w:ind w:left="720"/>
      <w:contextualSpacing/>
    </w:pPr>
    <w:rPr>
      <w:rFonts w:ascii="Arial" w:hAnsi="Arial"/>
      <w:color w:val="000000" w:themeColor="text1"/>
    </w:rPr>
  </w:style>
  <w:style w:type="character" w:styleId="Hyperlink">
    <w:name w:val="Hyperlink"/>
    <w:basedOn w:val="DefaultParagraphFont"/>
    <w:uiPriority w:val="99"/>
    <w:unhideWhenUsed/>
    <w:rsid w:val="0031164D"/>
    <w:rPr>
      <w:color w:val="0563C1"/>
      <w:u w:val="single"/>
    </w:rPr>
  </w:style>
  <w:style w:type="paragraph" w:customStyle="1" w:styleId="xmsonormal">
    <w:name w:val="x_msonormal"/>
    <w:basedOn w:val="Normal"/>
    <w:rsid w:val="0031164D"/>
    <w:pPr>
      <w:spacing w:after="0" w:line="240" w:lineRule="auto"/>
    </w:pPr>
    <w:rPr>
      <w:rFonts w:ascii="Calibri" w:hAnsi="Calibri" w:cs="Calibri"/>
      <w:lang w:eastAsia="en-AU"/>
    </w:rPr>
  </w:style>
  <w:style w:type="character" w:styleId="FollowedHyperlink">
    <w:name w:val="FollowedHyperlink"/>
    <w:basedOn w:val="DefaultParagraphFont"/>
    <w:uiPriority w:val="99"/>
    <w:semiHidden/>
    <w:unhideWhenUsed/>
    <w:rsid w:val="0031164D"/>
    <w:rPr>
      <w:color w:val="954F72" w:themeColor="followedHyperlink"/>
      <w:u w:val="single"/>
    </w:rPr>
  </w:style>
  <w:style w:type="paragraph" w:styleId="BalloonText">
    <w:name w:val="Balloon Text"/>
    <w:basedOn w:val="Normal"/>
    <w:link w:val="BalloonTextChar"/>
    <w:uiPriority w:val="99"/>
    <w:semiHidden/>
    <w:unhideWhenUsed/>
    <w:rsid w:val="00417F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7F4A"/>
    <w:rPr>
      <w:rFonts w:ascii="Segoe UI" w:hAnsi="Segoe UI" w:cs="Segoe UI"/>
      <w:sz w:val="18"/>
      <w:szCs w:val="18"/>
    </w:rPr>
  </w:style>
  <w:style w:type="paragraph" w:styleId="Header">
    <w:name w:val="header"/>
    <w:basedOn w:val="Normal"/>
    <w:link w:val="HeaderChar"/>
    <w:uiPriority w:val="99"/>
    <w:unhideWhenUsed/>
    <w:rsid w:val="008270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708B"/>
  </w:style>
  <w:style w:type="paragraph" w:styleId="Footer">
    <w:name w:val="footer"/>
    <w:basedOn w:val="Normal"/>
    <w:link w:val="FooterChar"/>
    <w:uiPriority w:val="99"/>
    <w:unhideWhenUsed/>
    <w:rsid w:val="008270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708B"/>
  </w:style>
  <w:style w:type="table" w:styleId="TableGrid">
    <w:name w:val="Table Grid"/>
    <w:basedOn w:val="TableNormal"/>
    <w:uiPriority w:val="39"/>
    <w:rsid w:val="009A4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75C9E"/>
    <w:rPr>
      <w:color w:val="605E5C"/>
      <w:shd w:val="clear" w:color="auto" w:fill="E1DFDD"/>
    </w:rPr>
  </w:style>
  <w:style w:type="character" w:customStyle="1" w:styleId="phonenumber">
    <w:name w:val="phone_number"/>
    <w:basedOn w:val="DefaultParagraphFont"/>
    <w:rsid w:val="00F75C9E"/>
  </w:style>
  <w:style w:type="character" w:styleId="CommentReference">
    <w:name w:val="annotation reference"/>
    <w:basedOn w:val="DefaultParagraphFont"/>
    <w:uiPriority w:val="99"/>
    <w:semiHidden/>
    <w:unhideWhenUsed/>
    <w:rsid w:val="000A5C58"/>
    <w:rPr>
      <w:sz w:val="16"/>
      <w:szCs w:val="16"/>
    </w:rPr>
  </w:style>
  <w:style w:type="paragraph" w:styleId="CommentText">
    <w:name w:val="annotation text"/>
    <w:basedOn w:val="Normal"/>
    <w:link w:val="CommentTextChar"/>
    <w:uiPriority w:val="99"/>
    <w:semiHidden/>
    <w:unhideWhenUsed/>
    <w:rsid w:val="000A5C58"/>
    <w:pPr>
      <w:spacing w:line="240" w:lineRule="auto"/>
    </w:pPr>
    <w:rPr>
      <w:sz w:val="20"/>
      <w:szCs w:val="20"/>
    </w:rPr>
  </w:style>
  <w:style w:type="character" w:customStyle="1" w:styleId="CommentTextChar">
    <w:name w:val="Comment Text Char"/>
    <w:basedOn w:val="DefaultParagraphFont"/>
    <w:link w:val="CommentText"/>
    <w:uiPriority w:val="99"/>
    <w:semiHidden/>
    <w:rsid w:val="000A5C58"/>
    <w:rPr>
      <w:sz w:val="20"/>
      <w:szCs w:val="20"/>
    </w:rPr>
  </w:style>
  <w:style w:type="paragraph" w:styleId="CommentSubject">
    <w:name w:val="annotation subject"/>
    <w:basedOn w:val="CommentText"/>
    <w:next w:val="CommentText"/>
    <w:link w:val="CommentSubjectChar"/>
    <w:uiPriority w:val="99"/>
    <w:semiHidden/>
    <w:unhideWhenUsed/>
    <w:rsid w:val="000A5C58"/>
    <w:rPr>
      <w:b/>
      <w:bCs/>
    </w:rPr>
  </w:style>
  <w:style w:type="character" w:customStyle="1" w:styleId="CommentSubjectChar">
    <w:name w:val="Comment Subject Char"/>
    <w:basedOn w:val="CommentTextChar"/>
    <w:link w:val="CommentSubject"/>
    <w:uiPriority w:val="99"/>
    <w:semiHidden/>
    <w:rsid w:val="000A5C5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012303">
      <w:bodyDiv w:val="1"/>
      <w:marLeft w:val="0"/>
      <w:marRight w:val="0"/>
      <w:marTop w:val="0"/>
      <w:marBottom w:val="0"/>
      <w:divBdr>
        <w:top w:val="none" w:sz="0" w:space="0" w:color="auto"/>
        <w:left w:val="none" w:sz="0" w:space="0" w:color="auto"/>
        <w:bottom w:val="none" w:sz="0" w:space="0" w:color="auto"/>
        <w:right w:val="none" w:sz="0" w:space="0" w:color="auto"/>
      </w:divBdr>
    </w:div>
    <w:div w:id="671644968">
      <w:bodyDiv w:val="1"/>
      <w:marLeft w:val="0"/>
      <w:marRight w:val="0"/>
      <w:marTop w:val="0"/>
      <w:marBottom w:val="0"/>
      <w:divBdr>
        <w:top w:val="none" w:sz="0" w:space="0" w:color="auto"/>
        <w:left w:val="none" w:sz="0" w:space="0" w:color="auto"/>
        <w:bottom w:val="none" w:sz="0" w:space="0" w:color="auto"/>
        <w:right w:val="none" w:sz="0" w:space="0" w:color="auto"/>
      </w:divBdr>
    </w:div>
    <w:div w:id="685138511">
      <w:bodyDiv w:val="1"/>
      <w:marLeft w:val="0"/>
      <w:marRight w:val="0"/>
      <w:marTop w:val="0"/>
      <w:marBottom w:val="0"/>
      <w:divBdr>
        <w:top w:val="none" w:sz="0" w:space="0" w:color="auto"/>
        <w:left w:val="none" w:sz="0" w:space="0" w:color="auto"/>
        <w:bottom w:val="none" w:sz="0" w:space="0" w:color="auto"/>
        <w:right w:val="none" w:sz="0" w:space="0" w:color="auto"/>
      </w:divBdr>
    </w:div>
    <w:div w:id="880480856">
      <w:bodyDiv w:val="1"/>
      <w:marLeft w:val="0"/>
      <w:marRight w:val="0"/>
      <w:marTop w:val="0"/>
      <w:marBottom w:val="0"/>
      <w:divBdr>
        <w:top w:val="none" w:sz="0" w:space="0" w:color="auto"/>
        <w:left w:val="none" w:sz="0" w:space="0" w:color="auto"/>
        <w:bottom w:val="none" w:sz="0" w:space="0" w:color="auto"/>
        <w:right w:val="none" w:sz="0" w:space="0" w:color="auto"/>
      </w:divBdr>
      <w:divsChild>
        <w:div w:id="2109155042">
          <w:marLeft w:val="0"/>
          <w:marRight w:val="375"/>
          <w:marTop w:val="0"/>
          <w:marBottom w:val="0"/>
          <w:divBdr>
            <w:top w:val="none" w:sz="0" w:space="0" w:color="auto"/>
            <w:left w:val="none" w:sz="0" w:space="0" w:color="auto"/>
            <w:bottom w:val="none" w:sz="0" w:space="0" w:color="auto"/>
            <w:right w:val="none" w:sz="0" w:space="0" w:color="auto"/>
          </w:divBdr>
        </w:div>
      </w:divsChild>
    </w:div>
    <w:div w:id="1636790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cid:image008.jpg@01D5A395.A481EB1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tel:0388922777" TargetMode="External"/><Relationship Id="rId5" Type="http://schemas.openxmlformats.org/officeDocument/2006/relationships/webSettings" Target="webSettings.xml"/><Relationship Id="rId15" Type="http://schemas.openxmlformats.org/officeDocument/2006/relationships/hyperlink" Target="https://djpr.vic.gov.au/game-hunting/kangaroo-harvesting" TargetMode="External"/><Relationship Id="rId10" Type="http://schemas.openxmlformats.org/officeDocument/2006/relationships/hyperlink" Target="http://www.ssaa.com.a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urldefense.proofpoint.com/v2/url?u=http-3A__www.agrifutures.com.au_kangaroo-2Dcommercial-2Dcode-2Dreview_&amp;d=DwMGaQ&amp;c=JnBkUqWXzx2bz-3a05d47Q&amp;r=GcuUZtEyE_NvoB0PBOx3vb9x-3Azj-UyGqH6u0dfzLCazIhMV9Apid6X_lZkSPuG&amp;m=u-zub6Nb5WtzIT5y_a0tmNvUqZ8GPJmR6l1Pd0VA8DM&amp;s=4NUOg34ctgY_6P1SA2ElYr_22CZ_c-RP_uznSVOGZoY&amp;e="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kangarooharvesting@ecodev.vic.gov.au"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EBEF1D-232A-4B43-BC8A-A34A2AA08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3</Pages>
  <Words>912</Words>
  <Characters>5200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6100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Kangaroo Harvest Program update – December 2019</dc:title>
  <dc:subject/>
  <dc:creator>Zachary Z Powell (DEDJTR)</dc:creator>
  <cp:keywords/>
  <dc:description/>
  <cp:lastModifiedBy>Bruce R Jenkins (DJPR)</cp:lastModifiedBy>
  <cp:revision>7</cp:revision>
  <dcterms:created xsi:type="dcterms:W3CDTF">2019-12-17T03:01:00Z</dcterms:created>
  <dcterms:modified xsi:type="dcterms:W3CDTF">2020-07-17T00:48:00Z</dcterms:modified>
  <cp:category/>
</cp:coreProperties>
</file>